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NatSchWV (Bayern)</w:t>
      </w:r>
    </w:p>
    <w:p>
      <w:r>
        <w:rPr>
          <w:color w:val="555555"/>
          <w:sz w:val="18"/>
        </w:rPr>
        <w:t xml:space="preserve">Naturschutzwachtverordnung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43 Abs. 5 des Bayerischen Naturschutzgesetzes (BayNatSchG) erläßt das Bayerische Staatsministerium für Landesentwicklung und Umweltfragen im Einvernehmen mit den Bayerischen Staatsministerien des Innern, der Finanzen und der Justiz folgende Verordnung:</w:t>
      </w:r>
    </w:p>
    <w:p>
      <w:r>
        <w:rPr>
          <w:color w:val="555555"/>
          <w:sz w:val="17"/>
        </w:rPr>
        <w:t xml:space="preserve">Zitiervorschlag: Eingangsformel NatSchWV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