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NatSchWV (Bayern) — Entschädigung</w:t>
      </w:r>
    </w:p>
    <w:p>
      <w:r>
        <w:rPr>
          <w:color w:val="555555"/>
          <w:sz w:val="18"/>
        </w:rPr>
        <w:t xml:space="preserve">Naturschutzwachtverordnung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Angehörigen der Naturschutzwacht sind ehrenamtlich tätig. Sie erhalten für ihren Aufwand eine Entschädigung, deren Höhe von den Kreisverwaltungsbehörden festgesetzt wird.</w:t>
      </w:r>
    </w:p>
    <w:p>
      <w:r>
        <w:rPr>
          <w:color w:val="555555"/>
          <w:sz w:val="17"/>
        </w:rPr>
        <w:t xml:space="preserve">Zitiervorschlag: § 4 NatSchWV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https://recht.nulegal.eu/gesetze/NatSchWV/4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