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NatSchWV (Bayern) — Umfang der Tätigkeit</w:t>
      </w:r>
    </w:p>
    <w:p>
      <w:r>
        <w:rPr>
          <w:color w:val="555555"/>
          <w:sz w:val="18"/>
        </w:rPr>
        <w:t xml:space="preserve">Naturschutzwachtverordnung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Angehörigen der Naturschutzwacht sind an die Weisungen der unteren Naturschutzbehörde gebunden.</w:t>
      </w:r>
    </w:p>
    <w:p>
      <w:r>
        <w:t xml:space="preserve">(2) Im übrigen entscheiden sie über ihren Einsatz in eigener Verantwortung.</w:t>
      </w:r>
    </w:p>
    <w:p>
      <w:r>
        <w:t xml:space="preserve">(3) Die Behörde kann bei der Bestellung Höchst- und Mindeststundenzahlen für den monatlichen Einsatz festlegen. In Ausnahmefällen können die Angehörigen der Naturschutzwacht vorübergehend von ihren Verpflichtungen entbunden werden.</w:t>
      </w:r>
    </w:p>
    <w:p>
      <w:r>
        <w:rPr>
          <w:color w:val="555555"/>
          <w:sz w:val="17"/>
        </w:rPr>
        <w:t xml:space="preserve">Zitiervorschlag: § 3 NatSchWV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https://recht.nulegal.eu/gesetze/NatSchWV/3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