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NatSchEÜV (Brandenburg)</w:t>
      </w:r>
    </w:p>
    <w:p>
      <w:r>
        <w:rPr>
          <w:color w:val="555555"/>
          <w:sz w:val="18"/>
        </w:rPr>
        <w:t xml:space="preserve">Naturschutzermächtigungsübertragungsverordnung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Ermächtigungen der Landesregierung zum Erlass von Rechtsverordnungen nach</w:t>
      </w:r>
    </w:p>
    <w:p>
      <w:r>
        <w:t xml:space="preserve">§ 9 Absatz 2 des Landesorganisationsgesetzes in Verbindung mit § 70 Nummer 3 des</w:t>
      </w:r>
    </w:p>
    <w:p>
      <w:r>
        <w:t xml:space="preserve">Bundesnaturschutzgesetzes vom 29. Juli 2009 (BGBl. I S. 2542), das zuletzt durch</w:t>
      </w:r>
    </w:p>
    <w:p>
      <w:r>
        <w:t xml:space="preserve">Artikel 7 des Gesetzes vom 21. Januar 2013 (BGBl. I S. 95) geändert worden ist,</w:t>
      </w:r>
    </w:p>
    <w:p>
      <w:r>
        <w:t xml:space="preserve">sowie nach § 36 Absatz 2 Satz 1 des Gesetzes über Ordnungswidrigkeiten für</w:t>
      </w:r>
    </w:p>
    <w:p>
      <w:r>
        <w:t xml:space="preserve">Ordnungswidrigkeiten nach dem Brandenburgischen Naturschutzausführungsgesetz vom</w:t>
      </w:r>
    </w:p>
    <w:p>
      <w:r>
        <w:t xml:space="preserve">21. Januar 2013 (GVBl. I Nr. 3) werden auf das für Naturschutz und</w:t>
      </w:r>
    </w:p>
    <w:p>
      <w:r>
        <w:t xml:space="preserve">Landschaftspflege zuständige Mitglied der Landesregierung übertragen.</w:t>
      </w:r>
    </w:p>
    <w:p>
      <w:r>
        <w:rPr>
          <w:color w:val="555555"/>
          <w:sz w:val="17"/>
        </w:rPr>
        <w:t xml:space="preserve">Zitiervorschlag: § 1 NatSchEÜV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https://recht.nulegal.eu/gesetze/NatSchE%C3%9CV/1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