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NatSchBRVO (Sachsen)</w:t>
      </w:r>
    </w:p>
    <w:p>
      <w:r>
        <w:rPr>
          <w:color w:val="555555"/>
          <w:sz w:val="18"/>
        </w:rPr>
        <w:t xml:space="preserve">Naturschutzbeiratsverordnung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45 Abs. 3 des Sächsischen Gesetzes über Naturschutz und Landschaftspflege (Sächsisches Naturschutzgesetz – SächsNatSchG ) vom 16. Dezember 1992 (SächsGVBl. S. 571), zuletzt geändert durch Gesetz vom 19. Juli 1993 (SächsGVBl. S. 577), wird im Einvernehmen mit dem Sächsischen Staatsministerium der Finanzen verordnet:</w:t>
      </w:r>
    </w:p>
    <w:p>
      <w:r>
        <w:rPr>
          <w:color w:val="555555"/>
          <w:sz w:val="17"/>
        </w:rPr>
        <w:t xml:space="preserve">Zitiervorschlag: Eingangsformel NatSchBRVO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https://recht.nulegal.eu/gesetze/NatSchBRVO/eingangsformel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NatSchBRVO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