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NatSchAVO (Sachsen) — Inkrafttreten</w:t>
      </w:r>
    </w:p>
    <w:p>
      <w:r>
        <w:rPr>
          <w:color w:val="555555"/>
          <w:sz w:val="18"/>
        </w:rPr>
        <w:t xml:space="preserve">Naturschutz-Ausgleichsverordnung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30. März 1995</w:t>
      </w:r>
    </w:p>
    <w:p>
      <w:r>
        <w:t xml:space="preserve">Der Staatsminister</w:t>
      </w:r>
    </w:p>
    <w:p>
      <w:r>
        <w:t xml:space="preserve">für Umwelt und Landesentwicklung</w:t>
      </w:r>
    </w:p>
    <w:p>
      <w:r>
        <w:t xml:space="preserve">Arnold Vaatz</w:t>
      </w:r>
    </w:p>
    <w:p>
      <w:r>
        <w:rPr>
          <w:color w:val="555555"/>
          <w:sz w:val="17"/>
        </w:rPr>
        <w:t xml:space="preserve">Zitiervorschlag: § 8 NatSchAVO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https://recht.nulegal.eu/gesetze/NatSchAVO/8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