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NatSchAVO (Sachsen) — Verwendung der Ausgleichsabgabe</w:t>
      </w:r>
    </w:p>
    <w:p>
      <w:r>
        <w:rPr>
          <w:color w:val="555555"/>
          <w:sz w:val="18"/>
        </w:rPr>
        <w:t xml:space="preserve">Naturschutz-Ausgleichsverordnung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Ausgleichsabgabe ist ausschließlich an den bei der Sächsischen Landesstiftung errichteten Naturschutzfonds zu zahlen und unter den Voraussetzungen des § 9 Abs. 4 Satz 3 SächsNatSchG zu verwenden.</w:t>
      </w:r>
    </w:p>
    <w:p>
      <w:r>
        <w:rPr>
          <w:color w:val="555555"/>
          <w:sz w:val="17"/>
        </w:rPr>
        <w:t xml:space="preserve">Zitiervorschlag: § 7 NatSchAVO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https://recht.nulegal.eu/gesetze/NatSchAVO/7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