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NatSchAVO (Sachsen) — Anwendungsbereich</w:t>
      </w:r>
    </w:p>
    <w:p>
      <w:r>
        <w:rPr>
          <w:color w:val="555555"/>
          <w:sz w:val="18"/>
        </w:rPr>
        <w:t xml:space="preserve">Naturschutz-Ausgleichsverordnung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regelt Inhalt, Art und Umfang der Rechtsfolgen von Eingriffen in Natur und Landschaft. Rechtsfolgen von Eingriffen sind:</w:t>
      </w:r>
    </w:p>
    <w:p>
      <w:r>
        <w:t xml:space="preserve">1. Ausgleichsmaßnahmen nach § 9 Abs. 2 SächsNatSchG ,</w:t>
      </w:r>
    </w:p>
    <w:p>
      <w:r>
        <w:t xml:space="preserve">2. Ersatzmaßnahmen nach § 9 Abs. 3 SächsNatSchG ,</w:t>
      </w:r>
    </w:p>
    <w:p>
      <w:r>
        <w:t xml:space="preserve">3. Ausgleichsabgaben nach § 9 Abs. 4 SächsNatSchG .</w:t>
      </w:r>
    </w:p>
    <w:p>
      <w:r>
        <w:t xml:space="preserve">Die Prüfung der Rechtsfolgen ist in der Reihenfolge des Satzes 2 vorzunehmen.</w:t>
      </w:r>
    </w:p>
    <w:p>
      <w:r>
        <w:t xml:space="preserve">(2) Soweit § 8a Abs. 1 BNatSchG anwendbar ist, entfällt die Rechtsfolge der Ausgleichsabgabe nach Absatz 1 Nr. 3.</w:t>
      </w:r>
    </w:p>
    <w:p>
      <w:r>
        <w:rPr>
          <w:color w:val="555555"/>
          <w:sz w:val="17"/>
        </w:rPr>
        <w:t xml:space="preserve">Zitiervorschlag: § 1 NatSchAVO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https://recht.nulegal.eu/gesetze/NatSchAVO/1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