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NatSGSORügenV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Südost-Rügen"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Art. 6 § 6 Nr. 1 des Umweltrahmengesetzes vom 29. Juni 1990 (GBl. I Nr. 42 S. 649) in Verbindung mit §§ 12, 13 und 15 des Bundesnaturschutzgesetzes wird verordnet:</w:t>
      </w:r>
    </w:p>
    <w:p>
      <w:r>
        <w:rPr>
          <w:color w:val="555555"/>
          <w:sz w:val="17"/>
        </w:rPr>
        <w:t xml:space="preserve">Zitiervorschlag: Eingangsformel NatSGSORügenV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https://recht.nulegal.eu/gesetze/NatSGSOR%C3%BCgenV/eingangsformel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