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NatSGSORügenV — Einvernehmen</w:t>
      </w:r>
    </w:p>
    <w:p>
      <w:r>
        <w:rPr>
          <w:color w:val="555555"/>
          <w:sz w:val="18"/>
        </w:rPr>
        <w:t xml:space="preserve">Verordnung über die Festsetzung von Naturschutzgebieten und einem Landschaftsschutzgebiet von zentraler Bedeutung mit der Gesamtbezeichnung "Biosphärenreservat Südost-Rügen"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Einvernehmen mit der Reservatsverwaltung ist herzustellen bei</w:t>
      </w:r>
    </w:p>
    <w:p>
      <w:pPr>
        <w:ind w:left="420"/>
      </w:pPr>
      <w:r>
        <w:t xml:space="preserve">1. Maßnahmen zur Unterhaltung der Straßen, Wege, Gewässer und sonstiger öffentlicher Anlagen und Einrichtungen,</w:t>
      </w:r>
    </w:p>
    <w:p>
      <w:pPr>
        <w:ind w:left="420"/>
      </w:pPr>
      <w:r>
        <w:t xml:space="preserve">2. Erweiterungen und Neuanlagen von Freizeiteinrichtungen,</w:t>
      </w:r>
    </w:p>
    <w:p>
      <w:pPr>
        <w:ind w:left="420"/>
      </w:pPr>
      <w:r>
        <w:t xml:space="preserve">3. der Aufstellung von Bauleitplänen.</w:t>
      </w:r>
    </w:p>
    <w:p>
      <w:r>
        <w:rPr>
          <w:color w:val="555555"/>
          <w:sz w:val="17"/>
        </w:rPr>
        <w:t xml:space="preserve">Zitiervorschlag: § 9 NatSGSORügenV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https://recht.nulegal.eu/gesetze/NatSGSOR%C3%BCgenV/9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