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NatSGSORügenV — Ausnahmen</w:t>
      </w:r>
    </w:p>
    <w:p>
      <w:r>
        <w:rPr>
          <w:color w:val="555555"/>
          <w:sz w:val="18"/>
        </w:rPr>
        <w:t xml:space="preserve">Verordnung über die Festsetzung von Naturschutzgebieten und einem Landschaftsschutzgebiet von zentraler Bedeutung mit der Gesamtbezeichnung "Biosphärenreservat Südost-Rügen"</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und zur Abwehr von Gefahren für Leib und Leben von Menschen sowie für erhebliche Sachwerte,</w:t>
      </w:r>
    </w:p>
    <w:p>
      <w:pPr>
        <w:ind w:left="420"/>
      </w:pPr>
      <w:r>
        <w:t xml:space="preserve">2. Maßnahmen der Reservatsverwaltung, die ausschließlich dem Zweck des § 3 dienen,</w:t>
      </w:r>
    </w:p>
    <w:p>
      <w:pPr>
        <w:ind w:left="420"/>
      </w:pPr>
      <w:r>
        <w:t xml:space="preserve">3. das Befahren der gesperrten Straßen und Wege mit Kraftfahrzeugen durch Angehörige von staatlichen Verwaltungen oder deren Beauftragte bei zwingend notwendigen Dienstfahrten sowie durch Sonstige mit Genehmigung der Reservatsverwaltung,</w:t>
      </w:r>
    </w:p>
    <w:p>
      <w:pPr>
        <w:ind w:left="420"/>
      </w:pPr>
      <w:r>
        <w:t xml:space="preserve">4. in der Schutzzone III</w:t>
      </w:r>
    </w:p>
    <w:p>
      <w:pPr>
        <w:ind w:left="780"/>
      </w:pPr>
      <w:r>
        <w:t xml:space="preserve">a) die Anlage von Kahlschlägen bis zu drei Hektar Fläche und</w:t>
      </w:r>
    </w:p>
    <w:p>
      <w:pPr>
        <w:ind w:left="780"/>
      </w:pPr>
      <w:r>
        <w:t xml:space="preserve">b) die im Sinne des Bundesnaturschutzgesetzes (§ 8 Abs. 7) ordnungsgemäße landwirtschaftliche Bodennutzung der bisher landwirtschaftlich genutzten Flächen, soweit in dem gemäß § 5 Abs. 2 zu erstellenden Pflege- und Entwicklungsplan nicht etwas anderes vorgesehen ist,</w:t>
      </w:r>
    </w:p>
    <w:p>
      <w:pPr>
        <w:ind w:left="420"/>
      </w:pPr>
      <w:r>
        <w:t xml:space="preserve">5. die bisherige bestimmungsmäßige Nutzung von baulichen Anlagen einschließlich der dazugehörigen Flächen.</w:t>
      </w:r>
    </w:p>
    <w:p>
      <w:r>
        <w:t xml:space="preserve">(2) Weiter bleiben die zum Zeitpunkt des Inkrafttretens der Verordnung auf Grund besonderer Genehmigungen und Rechte zulässigen Maßnahmen unberührt. Soweit diese Maßnahmen mit dem Schutzzweck des Biosphärenreservates (§ 3) nicht vereinbar sind, sollen sie im Rahmen der rechtlichen Möglichkeiten so schnell wie möglich abgebaut werden.</w:t>
      </w:r>
    </w:p>
    <w:p>
      <w:r>
        <w:rPr>
          <w:color w:val="555555"/>
          <w:sz w:val="17"/>
        </w:rPr>
        <w:t xml:space="preserve">Zitiervorschlag: § 7 NatSGSORügenV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https://recht.nulegal.eu/gesetze/NatSGSOR%C3%BCgenV/7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