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NatSGSORügenV — Gebote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Südost-Rügen"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Biosphärenreservat ist es geboten,</w:t>
      </w:r>
    </w:p>
    <w:p>
      <w:pPr>
        <w:ind w:left="420"/>
      </w:pPr>
      <w:r>
        <w:t xml:space="preserve">1. in der Schutzzone I vorrangig die ungestörte Entwicklung natürlicher und naturnaher Lebensgemeinschaften und Naturprozesse zu sichern,</w:t>
      </w:r>
    </w:p>
    <w:p>
      <w:pPr>
        <w:ind w:left="420"/>
      </w:pPr>
      <w:r>
        <w:t xml:space="preserve">2. in der Schutzzone II die biotoptypische Mannigfaltigkeit der heimischen Pflanzen- und Tierwelt zu erhalten und zu fördern,</w:t>
      </w:r>
    </w:p>
    <w:p>
      <w:pPr>
        <w:ind w:left="420"/>
      </w:pPr>
      <w:r>
        <w:t xml:space="preserve">3. intensive Landnutzung zu extensivieren. Insbesondere sind</w:t>
      </w:r>
    </w:p>
    <w:p>
      <w:pPr>
        <w:ind w:left="780"/>
      </w:pPr>
      <w:r>
        <w:t xml:space="preserve">a) Laubwälder in Schutzzone II ausschließlich auf dem Wege natürlicher Verjüngung plenterartig zu bewirtschaften (das Erntealter der Buche darf 180 Jahre nicht unterschreiten),</w:t>
      </w:r>
    </w:p>
    <w:p>
      <w:pPr>
        <w:ind w:left="780"/>
      </w:pPr>
      <w:r>
        <w:t xml:space="preserve">b) mit Nadelbäumen bestockte Flächen in naturgemäße Bestockung zu überführen,</w:t>
      </w:r>
    </w:p>
    <w:p>
      <w:pPr>
        <w:ind w:left="780"/>
      </w:pPr>
      <w:r>
        <w:t xml:space="preserve">c) Grünland in Schutzzone II so zu pflegen und zu nutzen, daß Landschaftscharakter, Vegetationsstruktur und biologische Formenmannigfaltigkeit gewahrt bleiben,</w:t>
      </w:r>
    </w:p>
    <w:p>
      <w:pPr>
        <w:ind w:left="780"/>
      </w:pPr>
      <w:r>
        <w:t xml:space="preserve">d) Intensivgrasland im Bereich ehemaliger Salzwiesen schrittweise durch Rückbau der Entwässerungsanlagen zu extensivieren,</w:t>
      </w:r>
    </w:p>
    <w:p>
      <w:pPr>
        <w:ind w:left="420"/>
      </w:pPr>
      <w:r>
        <w:t xml:space="preserve">4. in der Schutzzone III durch nachhaltige land-, forst- und fischereiwirtschaftliche sowie touristische Nutzung die Leistungsfähigkeit des Naturhaushaltes und den Erholungswert der Landschaft zu erhalten,</w:t>
      </w:r>
    </w:p>
    <w:p>
      <w:pPr>
        <w:ind w:left="420"/>
      </w:pPr>
      <w:r>
        <w:t xml:space="preserve">5. die Bestandsregulierungen von wildlebenden Tierarten entsprechend den Zielsetzungen für das Biosphärenreservat in den Schutzzonen I und II nach Maßgabe und in der Schutzzone III im Einvernehmen mit der Reservatsverwaltung vorzunehmen,</w:t>
      </w:r>
    </w:p>
    <w:p>
      <w:pPr>
        <w:ind w:left="420"/>
      </w:pPr>
      <w:r>
        <w:t xml:space="preserve">6. belastete oder geschädigte Ökosysteme und Landschaftsteile in ihrer Funktions- und Leistungsfähigkeit wiederherzustellen.</w:t>
      </w:r>
    </w:p>
    <w:p>
      <w:r>
        <w:t xml:space="preserve">(2) Zur Umsetzung der in Absatz 1 genannten Gebote sowie zur Erhaltung, Pflege und Entwicklung des Biosphärenreservates soll ein Pflege- und Entwicklungsplan unter Berücksichtigung von ökologischen, sozialen, ökonomischen und kulturellen Aspekten erstellt werden. Insbesondere soll er enthalten:</w:t>
      </w:r>
    </w:p>
    <w:p>
      <w:pPr>
        <w:ind w:left="420"/>
      </w:pPr>
      <w:r>
        <w:t xml:space="preserve">1. ein umfassendes Konzept für eine dem Schutzzweck entsprechende Erholungsnutzung,</w:t>
      </w:r>
    </w:p>
    <w:p>
      <w:pPr>
        <w:ind w:left="420"/>
      </w:pPr>
      <w:r>
        <w:t xml:space="preserve">2. ein umfassendes Verkehrskonzept zur Verringerung der Belastungen durch individuellen Kraftfahrzeugverkehr.</w:t>
      </w:r>
    </w:p>
    <w:p>
      <w:r>
        <w:rPr>
          <w:color w:val="555555"/>
          <w:sz w:val="17"/>
        </w:rPr>
        <w:t xml:space="preserve">Zitiervorschlag: § 5 NatSGSORügenV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https://recht.nulegal.eu/gesetze/NatSGSOR%C3%BCgenV/5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