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NatSGSORügenV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Unterschutzstellung bezweckt für den Bereich des Landschaftsschutzgebietes von zentraler Bedeutung:</w:t>
      </w:r>
    </w:p>
    <w:p>
      <w:pPr>
        <w:ind w:left="420"/>
      </w:pPr>
      <w:r>
        <w:t xml:space="preserve">1. den Schutz, die Pflege und die Entwicklung dieser in Mitteleuropa einzigartigen Kulturlandschaft,</w:t>
      </w:r>
    </w:p>
    <w:p>
      <w:pPr>
        <w:ind w:left="420"/>
      </w:pPr>
      <w:r>
        <w:t xml:space="preserve">2. den Schutz der Vielfalt, Eigenart und Schönheit des Landschaftsbildes,</w:t>
      </w:r>
    </w:p>
    <w:p>
      <w:pPr>
        <w:ind w:left="420"/>
      </w:pPr>
      <w:r>
        <w:t xml:space="preserve">3. die Erhaltung der Nutzungsfähigkeit der Naturgüter und der Leistungsfähigkeit des Naturhaushaltes durch die Entwicklung von praktischen Modellen ökologischer Landnutzung in Landwirtschaft, Waldwirtschaft, Fischerei, Erholungs- und Verkehrswesen unter Berücksichtigung landschaftstypischer historischer Siedlungs- und Landnutzungsformen,</w:t>
      </w:r>
    </w:p>
    <w:p>
      <w:pPr>
        <w:ind w:left="420"/>
      </w:pPr>
      <w:r>
        <w:t xml:space="preserve">4. die Erforschung der Wechselwirkungen zwischen Mensch und Landschaft mit dem Ziel der Erarbeitung von Konzepten nachhaltiger Nutzung der Biosphäre,</w:t>
      </w:r>
    </w:p>
    <w:p>
      <w:pPr>
        <w:ind w:left="420"/>
      </w:pPr>
      <w:r>
        <w:t xml:space="preserve">5. die Nutzung der besonderen Vielfalt, Eigenart und Schönheit des Gebietes für die Entwicklung eines breiten Umweltbewußtseins durch Öffentlichkeitsarbeit und Angebot von Möglichkeiten zu ökologischer Bildung.</w:t>
      </w:r>
    </w:p>
    <w:p>
      <w:r>
        <w:t xml:space="preserve">(2) Die Unterschutzstellung für den Bereich der Naturschutzgebiete von zentraler Bedeutung bezweckt darüber hinaus:</w:t>
      </w:r>
    </w:p>
    <w:p>
      <w:pPr>
        <w:ind w:left="420"/>
      </w:pPr>
      <w:r>
        <w:t xml:space="preserve">1. den Schutz und die Pflege der Seltenheit, der besonderen Eigenart und hervorragenden Schönheit von Natur und Landschaft dieser Gebiete,</w:t>
      </w:r>
    </w:p>
    <w:p>
      <w:pPr>
        <w:ind w:left="420"/>
      </w:pPr>
      <w:r>
        <w:t xml:space="preserve">2. die Erhaltung und Entwicklung des vielfältigen Mosaiks von Lebensgemeinschaften und Biotopen mit hoher Artenvielfalt wildlebender Pflanzen- und Tierarten (Niederwälder, Heiden, Weiderasen, Feuchtwiesen, Salzwiesen, Äcker),</w:t>
      </w:r>
    </w:p>
    <w:p>
      <w:pPr>
        <w:ind w:left="420"/>
      </w:pPr>
      <w:r>
        <w:t xml:space="preserve">3. die Erhaltung und Entwicklung als Nahrungs-, Rast- und Brutgebiet für gefährdete Tierarten,</w:t>
      </w:r>
    </w:p>
    <w:p>
      <w:pPr>
        <w:ind w:left="420"/>
      </w:pPr>
      <w:r>
        <w:t xml:space="preserve">4. die Sicherung der Eigendynamik der Naturprozesse in der Kernzone des Biosphärenreservates (Küstendynamik einschließlich submariner Prozesse, Waldentwicklung und Moorgenese).</w:t>
      </w:r>
    </w:p>
    <w:p>
      <w:r>
        <w:rPr>
          <w:color w:val="555555"/>
          <w:sz w:val="17"/>
        </w:rPr>
        <w:t xml:space="preserve">Zitiervorschlag: § 3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