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NatSGSORügenV — Schlußbestimmung</w:t>
      </w:r>
    </w:p>
    <w:p>
      <w:r>
        <w:rPr>
          <w:color w:val="555555"/>
          <w:sz w:val="18"/>
        </w:rPr>
        <w:t xml:space="preserve">Verordnung über die Festsetzung von Naturschutzgebieten und einem Landschaftsschutzgebiet von zentraler Bedeutung mit der Gesamtbezeichnung "Biosphärenreservat Südost-Rügen"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mit Wirkung vom 1. Oktober 1990 in Kraft.</w:t>
      </w:r>
    </w:p>
    <w:p>
      <w:r>
        <w:rPr>
          <w:color w:val="555555"/>
          <w:sz w:val="17"/>
        </w:rPr>
        <w:t xml:space="preserve">Zitiervorschlag: § 12 NatSGSORügenV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https://recht.nulegal.eu/gesetze/NatSGSOR%C3%BCgenV/12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