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NatPVorpBlV</w:t>
      </w:r>
    </w:p>
    <w:p>
      <w:r>
        <w:rPr>
          <w:color w:val="555555"/>
          <w:sz w:val="18"/>
        </w:rPr>
        <w:t xml:space="preserve">Verordnung über die Festsetzung des Nationalparkes Vorpommersche Boddenlandschaft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(Inhalt: nicht darstellbare Karte, Fundstelle: GBl. I 1990, Sonderdruck Nr. 1466)</w:t>
      </w:r>
    </w:p>
    <w:p>
      <w:r>
        <w:rPr>
          <w:color w:val="555555"/>
          <w:sz w:val="17"/>
        </w:rPr>
        <w:t xml:space="preserve">Zitiervorschlag: Anlage NatPVorpBlV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https://recht.nulegal.eu/gesetze/NatPVorpBlV/anlage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NatPVorpBlV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