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NatPVorpBlV — Gebote</w:t>
      </w:r>
    </w:p>
    <w:p>
      <w:r>
        <w:rPr>
          <w:color w:val="555555"/>
          <w:sz w:val="18"/>
        </w:rPr>
        <w:t xml:space="preserve">Verordnung über die Festsetzung des Nationalparkes Vorpommersche Boddenlandschaft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Nationalpark ist es geboten,</w:t>
      </w:r>
    </w:p>
    <w:p>
      <w:pPr>
        <w:ind w:left="420"/>
      </w:pPr>
      <w:r>
        <w:t xml:space="preserve">1. in der Schutzzone I vorrangig durch geeignete Schutzmaßnahmen die ungestörte Entwicklung natürlicher und naturnaher Lebensgemeinschaften zu sichern, sowie gestörte Lebensgemeinschaften in natürliche oder naturnahe Zustände zu überführen, insbesondere durch</w:t>
      </w:r>
    </w:p>
    <w:p>
      <w:pPr>
        <w:ind w:left="780"/>
      </w:pPr>
      <w:r>
        <w:t xml:space="preserve">a) Einstellung der wirtschaftlichen und militärischen Nutzungen nach einem mit der Nationalparkverwaltung abzustimmenden Zeitplan,</w:t>
      </w:r>
    </w:p>
    <w:p>
      <w:pPr>
        <w:ind w:left="780"/>
      </w:pPr>
      <w:r>
        <w:t xml:space="preserve">b) schrittweise Entnahme von nichteinheimischen Baumarten und Rückbau aller Entwässerungseinrichtungen,</w:t>
      </w:r>
    </w:p>
    <w:p>
      <w:pPr>
        <w:ind w:left="780"/>
      </w:pPr>
      <w:r>
        <w:t xml:space="preserve">c) Bestandsregulierungen von wildlebenden Tierarten entsprechend den Zielsetzungen des Nationalparkes durch die oder im Auftrage der Nationalparkverwaltung.</w:t>
      </w:r>
    </w:p>
    <w:p>
      <w:pPr>
        <w:ind w:left="420"/>
      </w:pPr>
      <w:r>
        <w:t xml:space="preserve">2. In der Schutzzone II vorrangig durch gezielte Pflege- und Renaturierungsmaßnahmen die biotypische Mannigfaltigkeit der heimischen Pflanzen- und Tierwelt zu erhalten und zu fördern, insbesondere</w:t>
      </w:r>
    </w:p>
    <w:p>
      <w:pPr>
        <w:ind w:left="780"/>
      </w:pPr>
      <w:r>
        <w:t xml:space="preserve">a) die schrittweise Umwandlung der Waldbestände, so daß langfristig eine Überführung in Schutzzone I möglich wird,</w:t>
      </w:r>
    </w:p>
    <w:p>
      <w:pPr>
        <w:ind w:left="780"/>
      </w:pPr>
      <w:r>
        <w:t xml:space="preserve">b) die Walderneuerung vorrangig über Naturverjüngung zuzulassen,</w:t>
      </w:r>
    </w:p>
    <w:p>
      <w:pPr>
        <w:ind w:left="780"/>
      </w:pPr>
      <w:r>
        <w:t xml:space="preserve">c) die Pflege der Graslandflächen durch Mahd und Beweidung ohne Düngung zu gewährleisten,</w:t>
      </w:r>
    </w:p>
    <w:p>
      <w:pPr>
        <w:ind w:left="780"/>
      </w:pPr>
      <w:r>
        <w:t xml:space="preserve">d) die Erholungsnutzung so zu gestalten, daß Beeinträchtigungen der Naturausstattung vermieden oder verringert werden,</w:t>
      </w:r>
    </w:p>
    <w:p>
      <w:pPr>
        <w:ind w:left="780"/>
      </w:pPr>
      <w:r>
        <w:t xml:space="preserve">e) durch geeignete Maßnahmen der Verkehrs- und Besucherlenkung den Ruhecharakter des Gebietes insgesamt stärker auszuprägen,</w:t>
      </w:r>
    </w:p>
    <w:p>
      <w:pPr>
        <w:ind w:left="780"/>
      </w:pPr>
      <w:r>
        <w:t xml:space="preserve">f) Bestandsregulierungen von wildlebenden Tierarten entsprechend den Zielsetzungen des Nationalparkes nach Maßgabe der Nationalparkverwaltung vorzunehmen.</w:t>
      </w:r>
    </w:p>
    <w:p>
      <w:r>
        <w:t xml:space="preserve">(2) Zur Umsetzung der in Abs. 1 genannten Gebote sowie zur Erhaltung, Pflege und Entwicklung des Nationalparkes, soll in angemessener Frist ein Pflege- und Entwicklungsplan erstellt werden.</w:t>
      </w:r>
    </w:p>
    <w:p>
      <w:r>
        <w:rPr>
          <w:color w:val="555555"/>
          <w:sz w:val="17"/>
        </w:rPr>
        <w:t xml:space="preserve">Zitiervorschlag: § 5 NatPVorpBlV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https://recht.nulegal.eu/gesetze/NatPVorpBlV/5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