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NatPVorpBlV — Schutzzweck</w:t>
      </w:r>
    </w:p>
    <w:p>
      <w:r>
        <w:rPr>
          <w:color w:val="555555"/>
          <w:sz w:val="18"/>
        </w:rPr>
        <w:t xml:space="preserve">Verordnung über die Festsetzung des Nationalparkes Vorpommersche Boddenlandschaft</w:t>
      </w:r>
    </w:p>
    <w:p>
      <w:r>
        <w:rPr>
          <w:color w:val="555555"/>
          <w:sz w:val="18"/>
        </w:rPr>
        <w:t xml:space="preserve">Stand: 10.06.2019 (konsolidierte Textfassung, kein amtliches Inkrafttretensdatum)</w:t>
      </w:r>
    </w:p>
    <w:p>
      <w:r>
        <w:t xml:space="preserve">(1) Die Errichtung des Nationalparkes dient dem Schutz der vorpommerschen Boddenlandschaft, der Bewahrung ihrer besonderen Eigenart, Schönheit und Ursprünglichkeit. Im einzelnen wird mit der Erklärung zum Nationalpark die Leistungsfähigkeit des Naturhaushaltes, insbesondere die durch menschliche Eingriffe nicht gestörte Entwicklung der Oberflächenformen und der Lebensgemeinschaften natürlicher Neulandbildungen, der Ablauf der natürlichen Prozesse in den Flachwassergebieten der Bodden und die natürliche Waldentwicklung auf Dünen und Strandwällen des Darß und Zingst gesichert bzw. gefördert. Der Nationalpark dient gleichzeitig der Wiederherstellung der Leistungsfähigkeit des Naturhaushaltes der durch menschliche Eingriffe veränderten Salzgrasland- und Moorflächen sowie der Sicherung der Vielfalt der Pflanzen- und Tierwelt. Dazu gehören:</w:t>
      </w:r>
    </w:p>
    <w:p>
      <w:pPr>
        <w:ind w:left="420"/>
      </w:pPr>
      <w:r>
        <w:t xml:space="preserve">1. Die Erhaltung der wichtigsten Wasser- und Watvogelbrutplätze an der deutschen Ostseeküste,</w:t>
      </w:r>
    </w:p>
    <w:p>
      <w:pPr>
        <w:ind w:left="420"/>
      </w:pPr>
      <w:r>
        <w:t xml:space="preserve">2. die Sicherung ungestörter Rast- und Winteraufenthaltsbedingungen für ziehende Wasservögel, insbesondere den Kranich (bestätigtes Feuchtgebiet von internationaler Bedeutung laut Ramsar-Konvention),</w:t>
      </w:r>
    </w:p>
    <w:p>
      <w:pPr>
        <w:ind w:left="420"/>
      </w:pPr>
      <w:r>
        <w:t xml:space="preserve">3. die Erhaltung von mehreren Brutplätzen des Seeadlers und anderer bestandsbedrohter Großvogelarten.</w:t>
      </w:r>
    </w:p>
    <w:p>
      <w:r>
        <w:t xml:space="preserve">(2) In dem Nationalpark wird keine wirtschaftsbestimmte Nutzung bezweckt; er soll aber zur Strukturverbesserung der angrenzenden Gebiete dienen.</w:t>
      </w:r>
    </w:p>
    <w:p>
      <w:r>
        <w:rPr>
          <w:color w:val="555555"/>
          <w:sz w:val="17"/>
        </w:rPr>
        <w:t xml:space="preserve">Zitiervorschlag: § 3 NatPVorpBlV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https://recht.nulegal.eu/gesetze/NatPVorpBlV/3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