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NatPVorpBlV — Festsetzung</w:t>
      </w:r>
    </w:p>
    <w:p>
      <w:r>
        <w:rPr>
          <w:color w:val="555555"/>
          <w:sz w:val="18"/>
        </w:rPr>
        <w:t xml:space="preserve">Verordnung über die Festsetzung des Nationalparkes Vorpommersche Boddenlandschaft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§ 2 näher bezeichnete Landschaft im vorpommerschen Küstengebiet wird als Nationalpark festgesetzt.</w:t>
      </w:r>
    </w:p>
    <w:p>
      <w:r>
        <w:t xml:space="preserve">(2) Der Nationalpark erhält die Bezeichnung "Nationalpark Vorpommersche Boddenlandschaft".</w:t>
      </w:r>
    </w:p>
    <w:p>
      <w:r>
        <w:rPr>
          <w:color w:val="555555"/>
          <w:sz w:val="17"/>
        </w:rPr>
        <w:t xml:space="preserve">Zitiervorschlag: § 1 NatPVorpBlV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https://recht.nulegal.eu/gesetze/NatPVorpBlV/1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