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NatPUORegWildV (Brandenburg) — Befreiungen</w:t>
      </w:r>
    </w:p>
    <w:p>
      <w:r>
        <w:rPr>
          <w:color w:val="555555"/>
          <w:sz w:val="18"/>
        </w:rPr>
        <w:t xml:space="preserve">Verordnung zur Regulierung der Wildbestände im Nationalpark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und Geboten dieser Verordnung kann die zuständige Naturschutzbehörde auf Antrag gemäß § 19 des Nationalparkgesetzes „Unteres Odertal“ in Verbindung mit § 72 des Brandenburgischen Naturschutzgesetzes Befreiung gewähren.</w:t>
      </w:r>
    </w:p>
    <w:p>
      <w:r>
        <w:rPr>
          <w:color w:val="555555"/>
          <w:sz w:val="17"/>
        </w:rPr>
        <w:t xml:space="preserve">Zitiervorschlag: § 9 NatPUORegWildV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https://recht.nulegal.eu/gesetze/NatPUORegWildV/9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