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NatPUOG (Brandenburg) — Pufferzone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Landschaftsschutzgebiet „Nationalparkregion Unteres Odertal“ erfüllt zur Verhinderung schädlicher Einwirkungen Pufferfunktionen für den Nationalpark. Im Landschaftsschutzgebiet sollen auch eine umweltverträgliche Regionalentwicklung, eine natur- und landschaftsverträgliche Land-, Forst- und Fischereiwirtschaft und ein Umwelt schonender Tourismus angestrebt und gefördert werden.</w:t>
      </w:r>
    </w:p>
    <w:p>
      <w:r>
        <w:t xml:space="preserve">(2) Das für Naturschutz und Landschaftspflege zuständige Mitglied der Landesregierung wird ermächtigt, durch Rechtsverordnung den Grenzverlauf des Landschaftsschutzgebietes „Nationalparkregion Unteres Odertal“ an die Nationalparkgrenze anzupassen.</w:t>
      </w:r>
    </w:p>
    <w:p>
      <w:r>
        <w:rPr>
          <w:color w:val="555555"/>
          <w:sz w:val="17"/>
        </w:rPr>
        <w:t xml:space="preserve">Zitiervorschlag: § 6 NatPUOG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