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NatPUOG (Brandenburg) — Inkrafttreten, Außerkrafttreten</w:t>
      </w:r>
    </w:p>
    <w:p>
      <w:r>
        <w:rPr>
          <w:color w:val="555555"/>
          <w:sz w:val="18"/>
        </w:rPr>
        <w:t xml:space="preserve">Nationalparkgesetz Unteres Odertal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 Gleichzeitig tritt das Nationalparkgesetz „Unteres Odertal“ vom 27. Juni 1995 (GVBl. I S. 114), geändert durch Artikel 2 des Gesetzes vom 20. April 2004 (GVBl. I S. 106, 136), außer Kraft.</w:t>
      </w:r>
    </w:p>
    <w:p>
      <w:r>
        <w:t xml:space="preserve">Potsdam, den 9. November 2006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22 NatPUOG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