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NatPUOG (Brandenburg) — Ordnungswidrigkeiten</w:t>
      </w:r>
    </w:p>
    <w:p>
      <w:r>
        <w:rPr>
          <w:color w:val="555555"/>
          <w:sz w:val="18"/>
        </w:rPr>
        <w:t xml:space="preserve">Nationalparkgesetz Unteres Odertal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Ordnungswidrig handelt, wer vorsätzlich oder fahrlässig einem der Verbote des § 8 Abs. 2 zuwiderhandelt.</w:t>
      </w:r>
    </w:p>
    <w:p>
      <w:r>
        <w:t xml:space="preserve">(2) Ordnungswidrig handelt ferner, wer vorsätzlich oder fahrlässig</w:t>
      </w:r>
    </w:p>
    <w:p>
      <w:r>
        <w:t xml:space="preserve">einer aufgrund dieses Gesetzes erlassenen vollziehbaren schriftlichen Anordnung, die auf diese Bußgeldvorschrift verweist, zuwiderhandelt, oder</w:t>
      </w:r>
    </w:p>
    <w:p>
      <w:r>
        <w:t xml:space="preserve">einer aufgrund dieses Gesetzes erlassenen Rechtsverordnung zuwiderhandelt, soweit sie für bestimmte Tatbestände auf diese Bußgeldbestimmung verweist.</w:t>
      </w:r>
    </w:p>
    <w:p>
      <w:r>
        <w:t xml:space="preserve">(3) Ordnungswidrigkeiten können mit einer Geldbuße bis zu 50 000 Euro geahndet werden.</w:t>
      </w:r>
    </w:p>
    <w:p>
      <w:r>
        <w:t xml:space="preserve">(4) Verwaltungsbehörde im Sinne des § 36 Abs. 1 Nr. 1 des Gesetzes über Ordnungswidrigkeiten ist die nach § 16 Abs. 2 Satz 1 zuständige Behörde.</w:t>
      </w:r>
    </w:p>
    <w:p>
      <w:r>
        <w:rPr>
          <w:color w:val="555555"/>
          <w:sz w:val="17"/>
        </w:rPr>
        <w:t xml:space="preserve">Zitiervorschlag: § 21 NatPUOG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https://recht.nulegal.eu/gesetze/NatPUOG/21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