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NatPUOG (Brandenburg) — Befreiung</w:t>
      </w:r>
    </w:p>
    <w:p>
      <w:r>
        <w:rPr>
          <w:color w:val="555555"/>
          <w:sz w:val="18"/>
        </w:rPr>
        <w:t xml:space="preserve">Nationalparkgesetz Unteres Odertal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Von den Verboten dieses Gesetzes und der aufgrund dieses Gesetzes erlassenen Rechtsverordnungen kann auf Antrag Befreiung gewährt werden. § 67 Absatz 1 und 3 des Bundesnaturschutzgesetzes und § 29 des Brandenburgischen Naturschutzausführungsgesetzes finden entsprechende Anwendung; § 16 Abs. 2 Satz 1 bleibt unberührt.</w:t>
      </w:r>
    </w:p>
    <w:p>
      <w:r>
        <w:rPr>
          <w:color w:val="555555"/>
          <w:sz w:val="17"/>
        </w:rPr>
        <w:t xml:space="preserve">Zitiervorschlag: § 19 NatPUOG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