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NatPUOFischV (Brandenburg) — Entschädigung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Geltendmachung von</w:t>
      </w:r>
    </w:p>
    <w:p>
      <w:r>
        <w:t xml:space="preserve">Entschädigungsansprüchen auf Grund dieser Verordnung richtet sich nach § 71 des</w:t>
      </w:r>
    </w:p>
    <w:p>
      <w:r>
        <w:t xml:space="preserve">Brandenburgischen Naturschutzgesetzes. Erwerbsverluste und Mehraufwendungen auf</w:t>
      </w:r>
    </w:p>
    <w:p>
      <w:r>
        <w:t xml:space="preserve">Grund dieser Verordnung sollen nach Möglichkeit im Rahmen von</w:t>
      </w:r>
    </w:p>
    <w:p>
      <w:r>
        <w:t xml:space="preserve">Vergleichsverträgen gemäß § 55 des Verwaltungsverfahrensgesetzes für das Land</w:t>
      </w:r>
    </w:p>
    <w:p>
      <w:r>
        <w:t xml:space="preserve">Brandenburg dauerhaft und einmalig ausgeglichen werden.</w:t>
      </w:r>
    </w:p>
    <w:p>
      <w:r>
        <w:rPr>
          <w:color w:val="555555"/>
          <w:sz w:val="17"/>
        </w:rPr>
        <w:t xml:space="preserve">Zitiervorschlag: § 9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