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NatPUOFischV (Brandenburg) — Fischereierlaubnisscheine</w:t>
      </w:r>
    </w:p>
    <w:p>
      <w:r>
        <w:rPr>
          <w:color w:val="555555"/>
          <w:sz w:val="18"/>
        </w:rPr>
        <w:t xml:space="preserve">Verordnung zur Regelung der Fischerei im Nationalpark „Unteres Odertal“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Bei der Ausgabe</w:t>
      </w:r>
    </w:p>
    <w:p>
      <w:r>
        <w:t xml:space="preserve">von Fischereierlaubnisscheinen hat der</w:t>
      </w:r>
    </w:p>
    <w:p>
      <w:r>
        <w:t xml:space="preserve">Fischereiausübungsberechtigte ein von der Nationalparkverwaltung</w:t>
      </w:r>
    </w:p>
    <w:p>
      <w:r>
        <w:t xml:space="preserve">bereitgestelltes Merkblatt über die naturschutzrechtlichen Bestimmungen</w:t>
      </w:r>
    </w:p>
    <w:p>
      <w:r>
        <w:t xml:space="preserve">auszuhändigen. Die Kosten für die Herstellung des Merkblatts trägt die</w:t>
      </w:r>
    </w:p>
    <w:p>
      <w:r>
        <w:t xml:space="preserve">Nationalparkverwaltung.</w:t>
      </w:r>
    </w:p>
    <w:p>
      <w:r>
        <w:t xml:space="preserve">(2) Zum Zeitpunkt des</w:t>
      </w:r>
    </w:p>
    <w:p>
      <w:r>
        <w:t xml:space="preserve">Inkrafttretens dieser Verordnung gültige Fischereierlaubnisscheine bleiben bis</w:t>
      </w:r>
    </w:p>
    <w:p>
      <w:r>
        <w:t xml:space="preserve">zu ihrem Ablauf, jedoch höchstens für ein Jahr in vollem Umfang wirksam. Alle</w:t>
      </w:r>
    </w:p>
    <w:p>
      <w:r>
        <w:t xml:space="preserve">Einschränkungen dieser Verordnung gelten insoweit nicht.</w:t>
      </w:r>
    </w:p>
    <w:p>
      <w:r>
        <w:t xml:space="preserve">§ 8</w:t>
      </w:r>
    </w:p>
    <w:p>
      <w:r>
        <w:t xml:space="preserve">Fangnachweis</w:t>
      </w:r>
    </w:p>
    <w:p>
      <w:r>
        <w:t xml:space="preserve">(1) Jeder Inhaber des</w:t>
      </w:r>
    </w:p>
    <w:p>
      <w:r>
        <w:t xml:space="preserve">Fischereirechts oder in vollem Umfang Fischereiausübungsberechtigte hat jährlich</w:t>
      </w:r>
    </w:p>
    <w:p>
      <w:r>
        <w:t xml:space="preserve">einen detaillierten Fangnachweis für die Geltungsdauer und den Geltungsbereich</w:t>
      </w:r>
    </w:p>
    <w:p>
      <w:r>
        <w:t xml:space="preserve">des von ihm genutzten Fischereirechts zu erstellen und der</w:t>
      </w:r>
    </w:p>
    <w:p>
      <w:r>
        <w:t xml:space="preserve">Nationalparkverwaltung bis zum 15. März des auf das Berichtsjahr folgenden</w:t>
      </w:r>
    </w:p>
    <w:p>
      <w:r>
        <w:t xml:space="preserve">Jahres zu übergeben.</w:t>
      </w:r>
    </w:p>
    <w:p>
      <w:r>
        <w:t xml:space="preserve">(2) Die Fänge der</w:t>
      </w:r>
    </w:p>
    <w:p>
      <w:r>
        <w:t xml:space="preserve">gewerblichen Fischerei sind nach Fangdatum, Gewässer oder Gewässerabschnitt,</w:t>
      </w:r>
    </w:p>
    <w:p>
      <w:r>
        <w:t xml:space="preserve">geschätzter Fangmasse je Art und geschätzter durchschnittlicher Stückmasse oder</w:t>
      </w:r>
    </w:p>
    <w:p>
      <w:r>
        <w:t xml:space="preserve">-länge zu dokumentieren.</w:t>
      </w:r>
    </w:p>
    <w:p>
      <w:r>
        <w:t xml:space="preserve">(3) Der Fangnachweis</w:t>
      </w:r>
    </w:p>
    <w:p>
      <w:r>
        <w:t xml:space="preserve">hat auch die Fänge aus der nichtgewerblichen Angelfischerei zu umfassen und hat</w:t>
      </w:r>
    </w:p>
    <w:p>
      <w:r>
        <w:t xml:space="preserve">für diese vollständige Angaben entsprechend den Vorgaben der</w:t>
      </w:r>
    </w:p>
    <w:p>
      <w:r>
        <w:t xml:space="preserve">Nationalparkverwaltung zu enthalten. Dazu gibt die Nationalparkverwaltung</w:t>
      </w:r>
    </w:p>
    <w:p>
      <w:r>
        <w:t xml:space="preserve">Fangkarten an die Fischereiausübungsberechtigten aus, die von den Erwerbern</w:t>
      </w:r>
    </w:p>
    <w:p>
      <w:r>
        <w:t xml:space="preserve">entsprechender Angelkarten auszufüllen und der Nationalparkverwaltung bis zum</w:t>
      </w:r>
    </w:p>
    <w:p>
      <w:r>
        <w:t xml:space="preserve">15. Februar eines jeden Jahres zurückzugeben sind. Die Nationalparkverwaltung</w:t>
      </w:r>
    </w:p>
    <w:p>
      <w:r>
        <w:t xml:space="preserve">stellt den in vollem Umfang Fischereiausübungsberechtigten die</w:t>
      </w:r>
    </w:p>
    <w:p>
      <w:r>
        <w:t xml:space="preserve">Daten in zusammengefasster Form zur Verfügung.</w:t>
      </w:r>
    </w:p>
    <w:p>
      <w:r>
        <w:rPr>
          <w:color w:val="555555"/>
          <w:sz w:val="17"/>
        </w:rPr>
        <w:t xml:space="preserve">Zitiervorschlag: § 7 NatPUOFischV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https://recht.nulegal.eu/gesetze/NatPUOFischV/7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