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NatPUOFischV (Brandenburg) — Angelveranstaltungen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Angelveranstaltungen</w:t>
      </w:r>
    </w:p>
    <w:p>
      <w:r>
        <w:t xml:space="preserve">nach § 8 der Fischereiordnung des Landes Brandenburg bedürfen der Zustimmung der</w:t>
      </w:r>
    </w:p>
    <w:p>
      <w:r>
        <w:t xml:space="preserve">Nationalparkverwaltung.</w:t>
      </w:r>
    </w:p>
    <w:p>
      <w:r>
        <w:rPr>
          <w:color w:val="555555"/>
          <w:sz w:val="17"/>
        </w:rPr>
        <w:t xml:space="preserve">Zitiervorschlag: § 6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