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NatPUOFischV (Brandenburg) — Sonstige Vorschriften für die Fischerei</w:t>
      </w:r>
    </w:p>
    <w:p>
      <w:r>
        <w:rPr>
          <w:color w:val="555555"/>
          <w:sz w:val="18"/>
        </w:rPr>
        <w:t xml:space="preserve">Verordnung zur Regelung der Fischerei im Nationalpark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Fanggeräte sind so</w:t>
      </w:r>
    </w:p>
    <w:p>
      <w:r>
        <w:t xml:space="preserve">auszustatten und aufzustellen, dass eine Gefährdung des Fischotters und Bibers</w:t>
      </w:r>
    </w:p>
    <w:p>
      <w:r>
        <w:t xml:space="preserve">weitgehend ausgeschlossen ist. Kleine Hamen außerhalb der Bundeswasserstraßen</w:t>
      </w:r>
    </w:p>
    <w:p>
      <w:r>
        <w:t xml:space="preserve">sind mit geeigneten Schutzvorrichtungen zu versehen und Reusen sind gegen das</w:t>
      </w:r>
    </w:p>
    <w:p>
      <w:r>
        <w:t xml:space="preserve">Einschwimmen zu sichern.</w:t>
      </w:r>
    </w:p>
    <w:p>
      <w:r>
        <w:t xml:space="preserve">(2) Die</w:t>
      </w:r>
    </w:p>
    <w:p>
      <w:r>
        <w:t xml:space="preserve">Elektrofischerei ist im Poldergebiet und im Deichvorland nur mit</w:t>
      </w:r>
    </w:p>
    <w:p>
      <w:r>
        <w:t xml:space="preserve">batteriebetriebenen Gleichstromgeräten gestattet. Die Zulassung der</w:t>
      </w:r>
    </w:p>
    <w:p>
      <w:r>
        <w:t xml:space="preserve">Elektrofischerei durch die untere Fischereibehörde nach § 26 Abs. 2 des</w:t>
      </w:r>
    </w:p>
    <w:p>
      <w:r>
        <w:t xml:space="preserve">Fischereigesetzes für das Land Brandenburg bedarf des Einvernehmens der</w:t>
      </w:r>
    </w:p>
    <w:p>
      <w:r>
        <w:t xml:space="preserve">Nationalparkverwaltung.</w:t>
      </w:r>
    </w:p>
    <w:p>
      <w:r>
        <w:t xml:space="preserve">(3) Das Hältern von</w:t>
      </w:r>
    </w:p>
    <w:p>
      <w:r>
        <w:t xml:space="preserve">Fischen aus der gewerblichen Fischerei ist verboten, soweit</w:t>
      </w:r>
    </w:p>
    <w:p>
      <w:r>
        <w:t xml:space="preserve">die Fische nicht im unmittelbaren Einzugsbereich der Hälterung</w:t>
      </w:r>
    </w:p>
    <w:p>
      <w:r>
        <w:t xml:space="preserve">(fangtechnisch bedingte Zwischenhälterung) gefangen wurden oder</w:t>
      </w:r>
    </w:p>
    <w:p>
      <w:r>
        <w:t xml:space="preserve">die Fische aus der Hälterung regelmäßig direkt vermarktet</w:t>
      </w:r>
    </w:p>
    <w:p>
      <w:r>
        <w:t xml:space="preserve">werden.</w:t>
      </w:r>
    </w:p>
    <w:p>
      <w:r>
        <w:t xml:space="preserve">Diese Verbote gelten</w:t>
      </w:r>
    </w:p>
    <w:p>
      <w:r>
        <w:t xml:space="preserve">nicht für die Bundeswasserstraßen mit Ausnahme der Schwedter Querfahrt, des</w:t>
      </w:r>
    </w:p>
    <w:p>
      <w:r>
        <w:t xml:space="preserve">Dorfgrabens und des Langen Kolks bei Stützkow.</w:t>
      </w:r>
    </w:p>
    <w:p>
      <w:r>
        <w:t xml:space="preserve">(4) Der Einsatz von</w:t>
      </w:r>
    </w:p>
    <w:p>
      <w:r>
        <w:t xml:space="preserve">Lockfutter zur Ausübung der Angelfischerei bleibt zulässig und wird vom Verbot</w:t>
      </w:r>
    </w:p>
    <w:p>
      <w:r>
        <w:t xml:space="preserve">des § 8 Abs. 2 Nr. 23 des Nationalparkgesetzes „Unteres Odertal“ nicht berührt.</w:t>
      </w:r>
    </w:p>
    <w:p>
      <w:r>
        <w:t xml:space="preserve">Dabei ist die Futtermenge auf zwei Liter, in den Bundeswasserstraßen auf fünf</w:t>
      </w:r>
    </w:p>
    <w:p>
      <w:r>
        <w:t xml:space="preserve">Liter Gesamtmischung pro Angler und Tag beschränkt.</w:t>
      </w:r>
    </w:p>
    <w:p>
      <w:r>
        <w:rPr>
          <w:color w:val="555555"/>
          <w:sz w:val="17"/>
        </w:rPr>
        <w:t xml:space="preserve">Zitiervorschlag: § 5 NatPUOFischV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https://recht.nulegal.eu/gesetze/NatPUOFischV/5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