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NatPUOFischV (Brandenburg) — Hegepläne</w:t>
      </w:r>
    </w:p>
    <w:p>
      <w:r>
        <w:rPr>
          <w:color w:val="555555"/>
          <w:sz w:val="18"/>
        </w:rPr>
        <w:t xml:space="preserve">Verordnung zur Regelung der Fischerei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Bis zur Bildung</w:t>
      </w:r>
    </w:p>
    <w:p>
      <w:r>
        <w:t xml:space="preserve">von Fischereibezirken nach § 23 des</w:t>
      </w:r>
    </w:p>
    <w:p>
      <w:r>
        <w:t xml:space="preserve">Fischereigesetzes für das Land Brandenburg hat jeder Fischereiberechtigte für</w:t>
      </w:r>
    </w:p>
    <w:p>
      <w:r>
        <w:t xml:space="preserve">den Geltungsbereich seines Fischereirechts</w:t>
      </w:r>
    </w:p>
    <w:p>
      <w:r>
        <w:t xml:space="preserve">im Nationalpark einen Hegeplan aufzustellen. Die Fischereiberechtigten können</w:t>
      </w:r>
    </w:p>
    <w:p>
      <w:r>
        <w:t xml:space="preserve">gemeinsame Hegepläne aufstellen. Die Bestimmungen des § 24 des Fischereigesetzes</w:t>
      </w:r>
    </w:p>
    <w:p>
      <w:r>
        <w:t xml:space="preserve">für das Land Brandenburg finden entsprechende Anwendung. Inhaber von</w:t>
      </w:r>
    </w:p>
    <w:p>
      <w:r>
        <w:t xml:space="preserve">Koppelfischereirechten nach § 9 des Fischereigesetzes für das Land Brandenburg</w:t>
      </w:r>
    </w:p>
    <w:p>
      <w:r>
        <w:t xml:space="preserve">haben die Hegepläne untereinander abzustimmen.</w:t>
      </w:r>
    </w:p>
    <w:p>
      <w:r>
        <w:t xml:space="preserve">(2) Der Hegeplan ist</w:t>
      </w:r>
    </w:p>
    <w:p>
      <w:r>
        <w:t xml:space="preserve">an § 1 Abs. 2 der Fischereiordnung des Landes Brandenburg und an den für die</w:t>
      </w:r>
    </w:p>
    <w:p>
      <w:r>
        <w:t xml:space="preserve">fischereiliche Bewirtschaftung maßgeblichen Aussagen des Nationalparkplans</w:t>
      </w:r>
    </w:p>
    <w:p>
      <w:r>
        <w:t xml:space="preserve">auszurichten.</w:t>
      </w:r>
    </w:p>
    <w:p>
      <w:r>
        <w:t xml:space="preserve">(3) Die Genehmigung</w:t>
      </w:r>
    </w:p>
    <w:p>
      <w:r>
        <w:t xml:space="preserve">nach § 24 Abs. 2 beziehungsweise die Aufstellung des Hegeplans nach § 24 Abs. 3</w:t>
      </w:r>
    </w:p>
    <w:p>
      <w:r>
        <w:t xml:space="preserve">des Fischereigesetzes für das Land Brandenburg erfolgt durch die untere</w:t>
      </w:r>
    </w:p>
    <w:p>
      <w:r>
        <w:t xml:space="preserve">Fischereibehörde in Abstimmung mit der Nationalparkverwaltung, wenn dieser mit</w:t>
      </w:r>
    </w:p>
    <w:p>
      <w:r>
        <w:t xml:space="preserve">dem Schutzzweck nach den §§ 3 und 4 und den Geboten nach § 7 Abs. 1 des</w:t>
      </w:r>
    </w:p>
    <w:p>
      <w:r>
        <w:t xml:space="preserve">Nationalparkgesetzes „Unteres Odertal“ vereinbar ist.</w:t>
      </w:r>
    </w:p>
    <w:p>
      <w:r>
        <w:t xml:space="preserve">§ 3</w:t>
      </w:r>
    </w:p>
    <w:p>
      <w:r>
        <w:t xml:space="preserve">Teichwirtschaften, Bewirtschaftungspläne</w:t>
      </w:r>
    </w:p>
    <w:p>
      <w:r>
        <w:t xml:space="preserve">(1) In</w:t>
      </w:r>
    </w:p>
    <w:p>
      <w:r>
        <w:t xml:space="preserve">Teichwirtschaften ist für jedes Wirtschaftsjahr im Voraus durch den</w:t>
      </w:r>
    </w:p>
    <w:p>
      <w:r>
        <w:t xml:space="preserve">Bewirtschafter ein fischereilicher Bewirtschaftungsplan mit Genehmigung der</w:t>
      </w:r>
    </w:p>
    <w:p>
      <w:r>
        <w:t xml:space="preserve">unteren Fischereibehörde im Einvernehmen mit der Nationalparkverwaltung zu</w:t>
      </w:r>
    </w:p>
    <w:p>
      <w:r>
        <w:t xml:space="preserve">erstellen. Der Bewirtschaftungsplan ist an den für die fischereiliche</w:t>
      </w:r>
    </w:p>
    <w:p>
      <w:r>
        <w:t xml:space="preserve">Bewirtschaftung maßgeblichen Aussagen des Nationalparkplans auszurichten. Die</w:t>
      </w:r>
    </w:p>
    <w:p>
      <w:r>
        <w:t xml:space="preserve">Genehmigung ist zu erteilen, wenn der Plan mit dem Schutzzweck nach den §§ 3 und</w:t>
      </w:r>
    </w:p>
    <w:p>
      <w:r>
        <w:t xml:space="preserve">4 und den Geboten nach § 7 Abs. 1 des Nationalparkgesetzes „Unteres Odertal“</w:t>
      </w:r>
    </w:p>
    <w:p>
      <w:r>
        <w:t xml:space="preserve">vereinbar ist.</w:t>
      </w:r>
    </w:p>
    <w:p>
      <w:r>
        <w:t xml:space="preserve">(2) Der</w:t>
      </w:r>
    </w:p>
    <w:p>
      <w:r>
        <w:t xml:space="preserve">Bewirtschaftungsplan muss mindestens folgende Angaben für jeden Teich enthalten:</w:t>
      </w:r>
    </w:p>
    <w:p>
      <w:r>
        <w:t xml:space="preserve">Besatz nach Art, Größe, Menge, geografischer Herkunft und</w:t>
      </w:r>
    </w:p>
    <w:p>
      <w:r>
        <w:t xml:space="preserve">Zeitpunkt, wobei das Aussetzen von nicht heimischen oder gentechnisch</w:t>
      </w:r>
    </w:p>
    <w:p>
      <w:r>
        <w:t xml:space="preserve">veränderten Fischarten einschließlich deren Laich unzulässig ist;</w:t>
      </w:r>
    </w:p>
    <w:p>
      <w:r>
        <w:t xml:space="preserve">Düngemitteleinsatz nach Art, Menge und Zeitpunkt, wobei die Düngung mit Jauche oder Mist nur zu Beginn der Vegetationsperiode und bei geschlossenen Teichablassbauwerken gestattet ist;</w:t>
      </w:r>
    </w:p>
    <w:p>
      <w:r>
        <w:t xml:space="preserve">Abfischungszeitraum;</w:t>
      </w:r>
    </w:p>
    <w:p>
      <w:r>
        <w:t xml:space="preserve">Bespannungs- und Trockenlegungszeiträume;</w:t>
      </w:r>
    </w:p>
    <w:p>
      <w:r>
        <w:t xml:space="preserve">Futtermitteleinsatz nach Art und Menge;</w:t>
      </w:r>
    </w:p>
    <w:p>
      <w:r>
        <w:t xml:space="preserve">Teichpflege- und Teichsanierungsmaßnahmen nach Art, Umfang und Zeitpunkt.</w:t>
      </w:r>
    </w:p>
    <w:p>
      <w:r>
        <w:t xml:space="preserve">(3) Folgende</w:t>
      </w:r>
    </w:p>
    <w:p>
      <w:r>
        <w:t xml:space="preserve">Handlungen sind in Teichwirtschaften verboten:</w:t>
      </w:r>
    </w:p>
    <w:p>
      <w:r>
        <w:t xml:space="preserve">die Vergrämung oder Vertreibung von Vögeln, die über das Teichgelände hinauswirkt oder bei der Tiere verletzt oder getötet werden; als Schutzmaßnahme vor Vogeleinflüssen ist eine Überspannung der genutzten Teichflächen im bisherigen Umfang gestattet;</w:t>
      </w:r>
    </w:p>
    <w:p>
      <w:r>
        <w:t xml:space="preserve">die Wiederaufnahme der fischereilichen Nutzung des Brückenteiches (Gemarkung Stolpe, Flur 1, Flurstück 310 teilweise);</w:t>
      </w:r>
    </w:p>
    <w:p>
      <w:r>
        <w:t xml:space="preserve">die Intensivierung der Fischproduktion in den Teichen über die Getreidezufütterungsvariante mit Erträgen bis 1 000 Kilogramm je Hektar hinaus.</w:t>
      </w:r>
    </w:p>
    <w:p>
      <w:r>
        <w:rPr>
          <w:color w:val="555555"/>
          <w:sz w:val="17"/>
        </w:rPr>
        <w:t xml:space="preserve">Zitiervorschlag: § 2 NatPUOFischV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https://recht.nulegal.eu/gesetze/NatPUOFischV/2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