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NatPUOFischV (Brandenburg) — Befreiung</w:t>
      </w:r>
    </w:p>
    <w:p>
      <w:r>
        <w:rPr>
          <w:color w:val="555555"/>
          <w:sz w:val="18"/>
        </w:rPr>
        <w:t xml:space="preserve">Verordnung zur Regelung der Fischerei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und</w:t>
      </w:r>
    </w:p>
    <w:p>
      <w:r>
        <w:t xml:space="preserve">Geboten dieser Verordnung kann die zuständige Naturschutzbehörde auf Antrag</w:t>
      </w:r>
    </w:p>
    <w:p>
      <w:r>
        <w:t xml:space="preserve">gemäß § 19 des Nationalparkgesetzes „Unteres Odertal“ in Verbindung mit § 72 des</w:t>
      </w:r>
    </w:p>
    <w:p>
      <w:r>
        <w:t xml:space="preserve">Brandenburgischen Naturschutzgesetzes Befreiung gewähren.</w:t>
      </w:r>
    </w:p>
    <w:p>
      <w:r>
        <w:rPr>
          <w:color w:val="555555"/>
          <w:sz w:val="17"/>
        </w:rPr>
        <w:t xml:space="preserve">Zitiervorschlag: § 10 NatPUOFischV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https://recht.nulegal.eu/gesetze/NatPUOFischV/10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