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NatPSchaalseeV — Gebote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Naturpark ist es geboten:</w:t>
      </w:r>
    </w:p>
    <w:p>
      <w:pPr>
        <w:ind w:left="420"/>
      </w:pPr>
      <w:r>
        <w:t xml:space="preserve">1. In der Zone II durch geeignete Schutz-, Renaturierungs- und Pflegemaßnahmen die Entwicklung natürlicher und naturnaher Lebensgemeinschaften zu sichern, gestörte Lebensgemeinschaften wiederherzustellen und die biotopische Mannigfaltigkeit der heimischen Pflanzen- und Tierwelt zu erhalten;</w:t>
      </w:r>
    </w:p>
    <w:p>
      <w:pPr>
        <w:ind w:left="420"/>
      </w:pPr>
      <w:r>
        <w:t xml:space="preserve">2. in der Zone III</w:t>
      </w:r>
    </w:p>
    <w:p>
      <w:pPr>
        <w:ind w:left="780"/>
      </w:pPr>
      <w:r>
        <w:t xml:space="preserve">a) die Land- und Forstwirtschaft sowie die Erholungsnutzung so zu gestalten, daß Beeinträchtigungen des Naturhaushaltes und der Naturausstattung vermieden werden,</w:t>
      </w:r>
    </w:p>
    <w:p>
      <w:pPr>
        <w:ind w:left="780"/>
      </w:pPr>
      <w:r>
        <w:t xml:space="preserve">b) durch landschaftspflegerische Maßnahmen ökologisch und kulturhistorisch wertvolle Landschaftsstrukturen zu erhalten und zu entwickeln,</w:t>
      </w:r>
    </w:p>
    <w:p>
      <w:pPr>
        <w:ind w:left="780"/>
      </w:pPr>
      <w:r>
        <w:t xml:space="preserve">c) durch geeignete Maßnahmen der Verkehrs- und Besucherlenkung, den Erholungswert der Landschaft zu sichern;</w:t>
      </w:r>
    </w:p>
    <w:p>
      <w:pPr>
        <w:ind w:left="420"/>
      </w:pPr>
      <w:r>
        <w:t xml:space="preserve">3. die Bestandsregulierung von wildlebenden Tierarten entsprechend den Zielsetzungen für den Naturpark in der Schutzzone II nach Maßgabe und in der Schutzzone III im Einvernehmen mit der Reservatsverwaltung vorzunehmen;</w:t>
      </w:r>
    </w:p>
    <w:p>
      <w:pPr>
        <w:ind w:left="420"/>
      </w:pPr>
      <w:r>
        <w:t xml:space="preserve">4. die fischereiliche Nutzung hat sich am Schutzzweck zu orientieren und ist durch die Verwaltung des Naturparkes neu zu regeln;</w:t>
      </w:r>
    </w:p>
    <w:p>
      <w:pPr>
        <w:ind w:left="420"/>
      </w:pPr>
      <w:r>
        <w:t xml:space="preserve">5. zum Schutz einzelner bestandsbedrohter Tierarten sind in auszuweisenden Bereichen besondere Schutzmaßnahmen einzuleiten.</w:t>
      </w:r>
    </w:p>
    <w:p>
      <w:r>
        <w:t xml:space="preserve">(2) Zur Umsetzung der im Absatz 1 genannten Gebote sowie zur Erhaltung, Pflege und Entwicklung des Naturparkes soll innerhalb von zwei Jahren nach Inkrafttreten dieser Verordnung ein Pflege- und Entwicklungsplan erstellt werden.</w:t>
      </w:r>
    </w:p>
    <w:p>
      <w:r>
        <w:rPr>
          <w:color w:val="555555"/>
          <w:sz w:val="17"/>
        </w:rPr>
        <w:t xml:space="preserve">Zitiervorschlag: § 5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