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NatPSchaalseeV — Schutzzweck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Festsetzung als Naturpark wird bezweckt:</w:t>
      </w:r>
    </w:p>
    <w:p>
      <w:pPr>
        <w:ind w:left="420"/>
      </w:pPr>
      <w:r>
        <w:t xml:space="preserve">1. die für mitteleuropäische Verhältnisse einzigartige Seenlandschaft in ihrer Unversehrtheit zu erhalten oder dort, wo sie gestört ist, wiederherzustellen,</w:t>
      </w:r>
    </w:p>
    <w:p>
      <w:pPr>
        <w:ind w:left="420"/>
      </w:pPr>
      <w:r>
        <w:t xml:space="preserve">2. die Lebensgemeinschaften nährstoffärmerer Seen und Moore sowie eine möglichst artenreiche Pflanzen- und Tierwelt zu erhalten oder wiederherzustellen,</w:t>
      </w:r>
    </w:p>
    <w:p>
      <w:pPr>
        <w:ind w:left="420"/>
      </w:pPr>
      <w:r>
        <w:t xml:space="preserve">3. die charakteristischen Strukturen einer alten bäuerlichen Kulturlandschaft zu bewahren und damit deren Erholungswert und Bildungswert zu sichern,</w:t>
      </w:r>
    </w:p>
    <w:p>
      <w:pPr>
        <w:ind w:left="420"/>
      </w:pPr>
      <w:r>
        <w:t xml:space="preserve">4. den Zusammenhang und die Ergänzung zum schleswig-holsteinischen Naturpark "Lauenburgische Seen" herzustellen.</w:t>
      </w:r>
    </w:p>
    <w:p>
      <w:r>
        <w:t xml:space="preserve">(2) Mit dem Naturpark soll die Strukturverbesserung der ehemaligen Grenzregion gefördert werden.</w:t>
      </w:r>
    </w:p>
    <w:p>
      <w:r>
        <w:rPr>
          <w:color w:val="555555"/>
          <w:sz w:val="17"/>
        </w:rPr>
        <w:t xml:space="preserve">Zitiervorschlag: § 3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