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NatPMSchweizV</w:t>
      </w:r>
    </w:p>
    <w:p>
      <w:r>
        <w:rPr>
          <w:color w:val="555555"/>
          <w:sz w:val="18"/>
        </w:rPr>
        <w:t xml:space="preserve">Verordnung über die Festsetzung von Naturschutzgebieten und einem Landschaftsschutzgebiet von zentraler Bedeutung als Naturpark "Märkische Schweiz"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Art. 6 § 6 Nr. 1 des Umweltrahmengesetzes vom 29. Juni 1990 (GBl. I Nr. 42 S. 649) in Verbindung mit §§ 12, 13, 15 und 16 des Bundesnaturschutzgesetzes wird verordnet:</w:t>
      </w:r>
    </w:p>
    <w:p>
      <w:r>
        <w:rPr>
          <w:color w:val="555555"/>
          <w:sz w:val="17"/>
        </w:rPr>
        <w:t xml:space="preserve">Zitiervorschlag: Eingangsformel NatPMSchweizV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https://recht.nulegal.eu/gesetze/NatPMSchweizV/eingangsformel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