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NatPMSchweizV — Festsetzung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"Märkische Schweiz"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in § 2 näher bezeichneten Umfang werden im Bereich der Märkischen Schweiz Naturschutzgebiete von zentraler Bedeutung und ein Landschaftsschutzgebiet von zentraler Bedeutung als Naturpark festgesetzt.</w:t>
      </w:r>
    </w:p>
    <w:p>
      <w:r>
        <w:t xml:space="preserve">(2) Der Naturpark erhält die Bezeichnung "Naturpark Märkische Schweiz".</w:t>
      </w:r>
    </w:p>
    <w:p>
      <w:r>
        <w:rPr>
          <w:color w:val="555555"/>
          <w:sz w:val="17"/>
        </w:rPr>
        <w:t xml:space="preserve">Zitiervorschlag: § 1 NatPMSchweizV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https://recht.nulegal.eu/gesetze/NatPMSchweizV/1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