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NatPJasmundV — Einvernehmen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Nationalparkverwaltung ist herzustellen bei:</w:t>
      </w:r>
    </w:p>
    <w:p>
      <w:pPr>
        <w:ind w:left="420"/>
      </w:pPr>
      <w:r>
        <w:t xml:space="preserve">1. Maßnahmen zur Unterhaltung der Straßen und Wege,</w:t>
      </w:r>
    </w:p>
    <w:p>
      <w:pPr>
        <w:ind w:left="420"/>
      </w:pPr>
      <w:r>
        <w:t xml:space="preserve">2. der Aufstellung von Bauleitplänen.</w:t>
      </w:r>
    </w:p>
    <w:p>
      <w:r>
        <w:rPr>
          <w:color w:val="555555"/>
          <w:sz w:val="17"/>
        </w:rPr>
        <w:t xml:space="preserve">Zitiervorschlag: § 9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