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NatPJasmundV — Gebote</w:t>
      </w:r>
    </w:p>
    <w:p>
      <w:r>
        <w:rPr>
          <w:color w:val="555555"/>
          <w:sz w:val="18"/>
        </w:rPr>
        <w:t xml:space="preserve">Verordnung über die Festsetzung des Nationalparks Jasmund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Nationalpark ist es geboten,</w:t>
      </w:r>
    </w:p>
    <w:p>
      <w:pPr>
        <w:ind w:left="420"/>
      </w:pPr>
      <w:r>
        <w:t xml:space="preserve">1. die ungestörte Entwicklung der natürlichen Lebensgemeinschaften zu sichern,</w:t>
      </w:r>
    </w:p>
    <w:p>
      <w:pPr>
        <w:ind w:left="420"/>
      </w:pPr>
      <w:r>
        <w:t xml:space="preserve">2. die Schutzzone I ganz der natürlichen Dynamik zu überlassen,</w:t>
      </w:r>
    </w:p>
    <w:p>
      <w:pPr>
        <w:ind w:left="420"/>
      </w:pPr>
      <w:r>
        <w:t xml:space="preserve">3. die Laubwälder der Schutzzone IIa durch Einstellung wirtschaftlicher Nutzung zum frühest möglichen Zeitpunkt in die Schutzzone I zu überführen,</w:t>
      </w:r>
    </w:p>
    <w:p>
      <w:pPr>
        <w:ind w:left="420"/>
      </w:pPr>
      <w:r>
        <w:t xml:space="preserve">4. die Nadelholzforsten der Schutzzone IIa durch geeignete forstliche Maßnahmen zur Schutzzone I zu entwickeln,</w:t>
      </w:r>
    </w:p>
    <w:p>
      <w:pPr>
        <w:ind w:left="420"/>
      </w:pPr>
      <w:r>
        <w:t xml:space="preserve">5. die Moore mit gestörtem Wasserhaushalt zu renaturieren,</w:t>
      </w:r>
    </w:p>
    <w:p>
      <w:pPr>
        <w:ind w:left="420"/>
      </w:pPr>
      <w:r>
        <w:t xml:space="preserve">6. die biotoptypische Formenmannigfaltigkeit der Pflanzen- und Tierwelt in der Schutzzone IIb durch Pflegemaßnahmen zu erhalten und zu fördern,</w:t>
      </w:r>
    </w:p>
    <w:p>
      <w:pPr>
        <w:ind w:left="420"/>
      </w:pPr>
      <w:r>
        <w:t xml:space="preserve">7. die Siedlungsbereiche der Schutzzone III in einer dem Schutzzweck des Nationalparkes gemäßen Weise zu gestalten,</w:t>
      </w:r>
    </w:p>
    <w:p>
      <w:pPr>
        <w:ind w:left="420"/>
      </w:pPr>
      <w:r>
        <w:t xml:space="preserve">8. durch geeignete Maßnahmen der Verkehrs- und Besucherlenkung den Ruhecharakter des Gebietes insgesamt stärker auszuprägen; insbesondere ist der Kraftfahrzeugverkehr wesentlich zu beschränken,</w:t>
      </w:r>
    </w:p>
    <w:p>
      <w:pPr>
        <w:ind w:left="420"/>
      </w:pPr>
      <w:r>
        <w:t xml:space="preserve">9. den wissenschaftlichen Erkenntnisgewinn vorrangig zu Fragestellungen der Nationalparkentwicklung zu fördern,</w:t>
      </w:r>
    </w:p>
    <w:p>
      <w:pPr>
        <w:ind w:left="420"/>
      </w:pPr>
      <w:r>
        <w:t xml:space="preserve">10. die Bestandsregulierungen von wildlebenden Tierarten entsprechend den Zielsetzungen für den Nationalpark in der Schutzzone I und II nach Maßgabe und in der Schutzzone III im Einvernehmen mit der Nationalparkverwaltung vorzunehmen.</w:t>
      </w:r>
    </w:p>
    <w:p>
      <w:r>
        <w:t xml:space="preserve">(2) Zur Umsetzung der in den Absätzen 1 bis 3 genannten Gebote, sowie zur Erhaltung, Pflege und Entwicklung des Nationalparkes, soll in angemessener Frist ein Pflege- und Entwicklungsplan erstellt werden.</w:t>
      </w:r>
    </w:p>
    <w:p>
      <w:r>
        <w:rPr>
          <w:color w:val="555555"/>
          <w:sz w:val="17"/>
        </w:rPr>
        <w:t xml:space="preserve">Zitiervorschlag: § 5 NatPJasmundV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https://recht.nulegal.eu/gesetze/NatPJasmundV/5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