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NatPJasmundV — Schutzzonen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Gebiet des Nationalparkes Jasmund wird in die Schutzzonen I, II und III gegliedert.</w:t>
      </w:r>
    </w:p>
    <w:p>
      <w:r>
        <w:t xml:space="preserve">(2) Die Schutzzone I (Kernzone) umfaßt folgende Bereiche:</w:t>
      </w:r>
    </w:p>
    <w:p>
      <w:pPr>
        <w:ind w:left="420"/>
      </w:pPr>
      <w:r>
        <w:t xml:space="preserve">1. das gesamte bisherige Naturschutzgebiet Jasmund (NSG) mit Ausnahme nadelholzbestockter Flächen und Siedlungsbereiche,</w:t>
      </w:r>
    </w:p>
    <w:p>
      <w:pPr>
        <w:ind w:left="420"/>
      </w:pPr>
      <w:r>
        <w:t xml:space="preserve">2. alle außerhalb des bisherigen NSG gelegenen mit Buchen-Altholz bestandenen Flächen sowie Moore und Gewässer,</w:t>
      </w:r>
    </w:p>
    <w:p>
      <w:pPr>
        <w:ind w:left="420"/>
      </w:pPr>
      <w:r>
        <w:t xml:space="preserve">3. die Ostsee bis zur unter § 2 bezeichneten Grenze.</w:t>
      </w:r>
    </w:p>
    <w:p>
      <w:r>
        <w:t xml:space="preserve">(3) Die Schutzzone II (Entwicklungs- und Pflegezone) wird in die Zonen in IIa und IIb unterteilt:</w:t>
      </w:r>
    </w:p>
    <w:p>
      <w:pPr>
        <w:ind w:left="420"/>
      </w:pPr>
      <w:r>
        <w:t xml:space="preserve">1. Die Schutzzone IIa (Entwicklungszone) umfaßt folgende Bereiche:</w:t>
      </w:r>
    </w:p>
    <w:p>
      <w:pPr>
        <w:ind w:left="780"/>
      </w:pPr>
      <w:r>
        <w:t xml:space="preserve">a) alle außerhalb des bisherigen NSG gelegenen Flächen mit Ausnahme der unter Zone I, IIb und III aufgeführten,</w:t>
      </w:r>
    </w:p>
    <w:p>
      <w:pPr>
        <w:ind w:left="780"/>
      </w:pPr>
      <w:r>
        <w:t xml:space="preserve">b) alle mit Nadelhölzern und anderen gebietsfremden Holzarten bestockten Waldflächen des bisherigen NSG,</w:t>
      </w:r>
    </w:p>
    <w:p>
      <w:pPr>
        <w:ind w:left="780"/>
      </w:pPr>
      <w:r>
        <w:t xml:space="preserve">c) Moore mit anthropogen gestörtem Wasserhaushalt,</w:t>
      </w:r>
    </w:p>
    <w:p>
      <w:pPr>
        <w:ind w:left="780"/>
      </w:pPr>
      <w:r>
        <w:t xml:space="preserve">d) alle Äcker und von Wald eingeschlossenen Grünlandflächen.</w:t>
      </w:r>
    </w:p>
    <w:p>
      <w:pPr>
        <w:ind w:left="420"/>
      </w:pPr>
      <w:r>
        <w:t xml:space="preserve">2. Die Schutzzone IIb (Pflegezone) umfaßt die aufgelassenen Kreidebrüche von Quoltitz und Buddenhagen.</w:t>
      </w:r>
    </w:p>
    <w:p>
      <w:r>
        <w:t xml:space="preserve">(4) Die Schutzzone III (Erholungszone) umfaßt die im Nationalpark eingeschlossenen Siedlungsbereiche Stubbenkammer, Baumhaus Schwierenz, Baumhaus Hagen, Werder, Waldhalle, Buddenhagen.</w:t>
      </w:r>
    </w:p>
    <w:p>
      <w:r>
        <w:t xml:space="preserve">(5) Die Grenzen der Schutzzonen sind in der in § 2 Abs. 4 genannten Karte M 1:10.000 eingetragen.</w:t>
      </w:r>
    </w:p>
    <w:p>
      <w:r>
        <w:rPr>
          <w:color w:val="555555"/>
          <w:sz w:val="17"/>
        </w:rPr>
        <w:t xml:space="preserve">Zitiervorschlag: § 4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