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NatPJasmundV — Vorrang dieser Verordnung</w:t>
      </w:r>
    </w:p>
    <w:p>
      <w:r>
        <w:rPr>
          <w:color w:val="555555"/>
          <w:sz w:val="18"/>
        </w:rPr>
        <w:t xml:space="preserve">Verordnung über die Festsetzung des Nationalparks Jasmund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Bestimmungen dieser Verordnung gehen den Bestimmungen der bestehenden naturschutzrechtlichen Beschlüsse, Verordnungen oder Anordnungen für dieses Gebiet vor.</w:t>
      </w:r>
    </w:p>
    <w:p>
      <w:r>
        <w:rPr>
          <w:color w:val="555555"/>
          <w:sz w:val="17"/>
        </w:rPr>
        <w:t xml:space="preserve">Zitiervorschlag: § 11 NatPJasmundV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https://recht.nulegal.eu/gesetze/NatPJasmundV/11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