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NatPHHarzV — Einvernehmen</w:t>
      </w:r>
    </w:p>
    <w:p>
      <w:r>
        <w:rPr>
          <w:color w:val="555555"/>
          <w:sz w:val="18"/>
        </w:rPr>
        <w:t xml:space="preserve">Verordnung über die Festsetzung des Nationalparks Hochharz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Einvernehmen mit der Nationalparkverwaltung ist herzustellen bei</w:t>
      </w:r>
    </w:p>
    <w:p>
      <w:pPr>
        <w:ind w:left="420"/>
      </w:pPr>
      <w:r>
        <w:t xml:space="preserve">1. Maßnahmen zur Unterhaltung der Straßen und Wege sowie Gewässer und</w:t>
      </w:r>
    </w:p>
    <w:p>
      <w:pPr>
        <w:ind w:left="420"/>
      </w:pPr>
      <w:r>
        <w:t xml:space="preserve">2. der Erweiterung und Neuanlage von Freizeiteinrichtungen</w:t>
      </w:r>
    </w:p>
    <w:p>
      <w:pPr>
        <w:ind w:left="420"/>
      </w:pPr>
      <w:r>
        <w:t xml:space="preserve">3. der Aufstellung von Bauleitplänen.</w:t>
      </w:r>
    </w:p>
    <w:p>
      <w:r>
        <w:rPr>
          <w:color w:val="555555"/>
          <w:sz w:val="17"/>
        </w:rPr>
        <w:t xml:space="preserve">Zitiervorschlag: § 9 NatPHHarzV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https://recht.nulegal.eu/gesetze/NatPHHarzV/9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