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NatPHHarzV — Vorrang dieser Verordnung</w:t>
      </w:r>
    </w:p>
    <w:p>
      <w:r>
        <w:rPr>
          <w:color w:val="555555"/>
          <w:sz w:val="18"/>
        </w:rPr>
        <w:t xml:space="preserve">Verordnung über die Festsetzung des Nationalparks Hochharz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dieser Verordnung gehen den Bestimmungen der bestehenden naturschutzrechtlichen Beschlüsse, Verordnungen oder Anordnungen für dieses Gebiet vor.</w:t>
      </w:r>
    </w:p>
    <w:p>
      <w:r>
        <w:rPr>
          <w:color w:val="555555"/>
          <w:sz w:val="17"/>
        </w:rPr>
        <w:t xml:space="preserve">Zitiervorschlag: § 11 NatPHHarzV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https://recht.nulegal.eu/gesetze/NatPHHarzV/11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