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NatPDrömlV — Schutzzweck</w:t>
      </w:r>
    </w:p>
    <w:p>
      <w:r>
        <w:rPr>
          <w:color w:val="555555"/>
          <w:sz w:val="18"/>
        </w:rPr>
        <w:t xml:space="preserve">Verordnung über die Festsetzung von Naturschutzgebieten und einem Landschaftsschutzgebiet von zentraler Bedeutung als Naturpark "Drömling"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 der Festsetzung als Naturpark "Drömling" wird bezweckt:</w:t>
      </w:r>
    </w:p>
    <w:p>
      <w:pPr>
        <w:ind w:left="420"/>
      </w:pPr>
      <w:r>
        <w:t xml:space="preserve">1. Die Sicherung der Arten- und Formenvielfalt einer von grundwasserbeeinflußten Wald- und Grünlandstandorten gekennzeichneten Kulturlandschaft und die Bewahrung von naturnahen Ökosystemen der Naß- und Feuchtstandorte.</w:t>
      </w:r>
    </w:p>
    <w:p>
      <w:pPr>
        <w:ind w:left="420"/>
      </w:pPr>
      <w:r>
        <w:t xml:space="preserve">2. Die großflächige Renaturierung von Niederungswäldern und Mooren und die Schaffung natürlicher Sukzessionsflächen durch Anhebung der Grundwasserstände.</w:t>
      </w:r>
    </w:p>
    <w:p>
      <w:pPr>
        <w:ind w:left="420"/>
      </w:pPr>
      <w:r>
        <w:t xml:space="preserve">3. Die Förderung von Tier- und Pflanzenarten extensiv bewirtschafteter Wiesen und Weiden, insbesondere des Großen Brachvogels, der Uferschnepfe, des Kiebitz, der Bekassine, des Rotschenkels u.a. schutzbedürftige Arten.</w:t>
      </w:r>
    </w:p>
    <w:p>
      <w:pPr>
        <w:ind w:left="420"/>
      </w:pPr>
      <w:r>
        <w:t xml:space="preserve">4. Die Erhaltung und Verbesserung der Lebensräume von Schwarz- und Weißstorch, Kranich, Schreiadler und Fischotter.</w:t>
      </w:r>
    </w:p>
    <w:p>
      <w:pPr>
        <w:ind w:left="420"/>
      </w:pPr>
      <w:r>
        <w:t xml:space="preserve">5. Die Erhaltung der kulturhistorisch bedeutsamen Moordammkulturen.</w:t>
      </w:r>
    </w:p>
    <w:p>
      <w:pPr>
        <w:ind w:left="420"/>
      </w:pPr>
      <w:r>
        <w:t xml:space="preserve">6. Die Sicherung einer ungestörten Waldentwicklung in Teilen des Gebietes.</w:t>
      </w:r>
    </w:p>
    <w:p>
      <w:pPr>
        <w:ind w:left="420"/>
      </w:pPr>
      <w:r>
        <w:t xml:space="preserve">7. Die Verbesserung der Wassergüte in Oberflächen- und Grundwässern.</w:t>
      </w:r>
    </w:p>
    <w:p>
      <w:pPr>
        <w:ind w:left="420"/>
      </w:pPr>
      <w:r>
        <w:t xml:space="preserve">8. Entwicklung einer ökologisch orientierten Gesamtbewirtschaftung des Naturparkes unter Berücksichtigung einer stabilen Trinkwassergewinnung.</w:t>
      </w:r>
    </w:p>
    <w:p>
      <w:pPr>
        <w:ind w:left="420"/>
      </w:pPr>
      <w:r>
        <w:t xml:space="preserve">9. Die Entwicklung von Teilen des Naturparkes vorrangig unter dem Aspekt der Naturbeobachtung und der Erholung, die auf die Sicherung der spezifischen Naturschutzzwecke abgestimmt ist.</w:t>
      </w:r>
    </w:p>
    <w:p>
      <w:r>
        <w:rPr>
          <w:color w:val="555555"/>
          <w:sz w:val="17"/>
        </w:rPr>
        <w:t xml:space="preserve">Zitiervorschlag: § 3 NatPDrömlV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https://recht.nulegal.eu/gesetze/NatPDr%C3%B6mlV/3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