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NatPDrömlV — Festsetzung</w:t>
      </w:r>
    </w:p>
    <w:p>
      <w:r>
        <w:rPr>
          <w:color w:val="555555"/>
          <w:sz w:val="18"/>
        </w:rPr>
        <w:t xml:space="preserve">Verordnung über die Festsetzung von Naturschutzgebieten und einem Landschaftsschutzgebiet von zentraler Bedeutung als Naturpark "Drömling"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dem in § 2 näher bezeichneten Umfang werden im Drömling Naturschutzgebiete und ein Landschaftsschutzgebiet von zentraler Bedeutung als Naturpark festgesetzt.</w:t>
      </w:r>
    </w:p>
    <w:p>
      <w:r>
        <w:t xml:space="preserve">(2) Der Naturpark erhält die Bezeichnung Naturpark "Drömling".</w:t>
      </w:r>
    </w:p>
    <w:p>
      <w:r>
        <w:rPr>
          <w:color w:val="555555"/>
          <w:sz w:val="17"/>
        </w:rPr>
        <w:t xml:space="preserve">Zitiervorschlag: § 1 NatPDrömlV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https://recht.nulegal.eu/gesetze/NatPDr%C3%B6mlV/1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NatPDrömlV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