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NatMonZuVO (Sachsen)</w:t>
      </w:r>
    </w:p>
    <w:p>
      <w:r>
        <w:rPr>
          <w:color w:val="555555"/>
          <w:sz w:val="18"/>
        </w:rPr>
        <w:t xml:space="preserve">Naturmonumentzuständigkeitsverordnung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48 Absatz 3 Satz 1 des Sächsischen Naturschutzgesetzes vom 6. Juni 2013 (SächsGVBl. S. 451), der durch Artikel 6 Nummer 22 des Gesetzes vom 20. Dezember 2022 (SächsGVBl. S. 705) geändert worden ist, verordnet das Staatsministerium für Umwelt und Landwirtschaft:</w:t>
      </w:r>
    </w:p>
    <w:p>
      <w:r>
        <w:rPr>
          <w:color w:val="555555"/>
          <w:sz w:val="17"/>
        </w:rPr>
        <w:t xml:space="preserve">Zitiervorschlag: Eingangsformel NatMonZuVO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https://recht.nulegal.eu/gesetze/NatMonZuVO/eingangsformel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