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NatMonVO (Sachsen) — Befreiungen und Entschädigung</w:t>
      </w:r>
    </w:p>
    <w:p>
      <w:r>
        <w:rPr>
          <w:color w:val="555555"/>
          <w:sz w:val="18"/>
        </w:rPr>
        <w:t xml:space="preserve">Naturmonumentverordnung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Von den Verboten nach § 4 Absatz 1 und 2 kann die untere Naturschutzbehörde nach Maßgabe des § 39 des Sächsischen Naturschutzgesetzes in Verbindung mit § 67 des Bundesnaturschutzgesetzes auf Antrag Befreiung gewähren. Die Befreiung darf § 33 Absatz 1, § 34 und § 45 Absatz 7 des Bundesnaturschutzgesetzes nicht entgegenstehen.</w:t>
      </w:r>
    </w:p>
    <w:p>
      <w:r>
        <w:t xml:space="preserve">(2) Die Regelungen über Entschädigung und Härtefallausgleich gemäß § 40 des Sächsischen Naturschutzgesetzes in Verbindung mit § 68 Absatz 1 und 2 des Bundesnaturschutzgesetzes bleiben unberührt.</w:t>
      </w:r>
    </w:p>
    <w:p>
      <w:r>
        <w:rPr>
          <w:color w:val="555555"/>
          <w:sz w:val="17"/>
        </w:rPr>
        <w:t xml:space="preserve">Zitiervorschlag: § 9 NatMonVO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https://recht.nulegal.eu/gesetze/NatMonVO/9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