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NatMonVO (Sachsen) — Verhältnis zu anderen Vorschriften</w:t>
      </w:r>
    </w:p>
    <w:p>
      <w:r>
        <w:rPr>
          <w:color w:val="555555"/>
          <w:sz w:val="18"/>
        </w:rPr>
        <w:t xml:space="preserve">Naturmonumentverordnung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Weitergehende Vorschriften bleiben unberührt. Dies gilt insbesondere für</w:t>
      </w:r>
    </w:p>
    <w:p>
      <w:r>
        <w:t xml:space="preserve">1. naturschutzrechtliche Vorschriften über geschützte Teile von Natur und Landschaft im Sinne des § 20 Absatz 2 Nummer 4 und 5 des Bundesnaturschutzgesetzes ,</w:t>
      </w:r>
    </w:p>
    <w:p>
      <w:r>
        <w:t xml:space="preserve">2. die Bestimmungen der Grundschutzverordnung Sachsen für FFH-Gebiete und der Grundschutzverordnung Sachsen für Vogelschutzgebiete sowie</w:t>
      </w:r>
    </w:p>
    <w:p>
      <w:r>
        <w:t xml:space="preserve">3. denkmalschutzrechtliche Vorschriften.</w:t>
      </w:r>
    </w:p>
    <w:p>
      <w:r>
        <w:rPr>
          <w:color w:val="555555"/>
          <w:sz w:val="17"/>
        </w:rPr>
        <w:t xml:space="preserve">Zitiervorschlag: § 8 NatMonVO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https://recht.nulegal.eu/gesetze/NatMonVO/8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