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NatMonVO (Sachsen) — Erklärung zum Nationalen Naturmonument</w:t>
      </w:r>
    </w:p>
    <w:p>
      <w:r>
        <w:rPr>
          <w:color w:val="555555"/>
          <w:sz w:val="18"/>
        </w:rPr>
        <w:t xml:space="preserve">Naturmonumentverordnung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in § 2 Absatz 3 bis 5 näher bezeichneten Flächen auf dem Gebiet der Gemeinden Eichigt, Triebel/Vogtland und Weischlitz im Vogtlandkreis werden zum Nationalen Naturmonument erklärt.</w:t>
      </w:r>
    </w:p>
    <w:p>
      <w:r>
        <w:t xml:space="preserve">(2) Das Nationale Naturmonument führt die Bezeichnung „Grünes Band Sachsen“.</w:t>
      </w:r>
    </w:p>
    <w:p>
      <w:r>
        <w:rPr>
          <w:color w:val="555555"/>
          <w:sz w:val="17"/>
        </w:rPr>
        <w:t xml:space="preserve">Zitiervorschlag: § 1 NatMonVO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https://recht.nulegal.eu/gesetze/NatMonVO/1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