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 NatKautschOrgVorRV</w:t>
      </w:r>
    </w:p>
    <w:p>
      <w:r>
        <w:rPr>
          <w:color w:val="555555"/>
          <w:sz w:val="18"/>
        </w:rPr>
        <w:t xml:space="preserve">Verordnung über die Gewährung von Vorrechten und Immunitäten an die Internationale Naturkautschukorganisation</w:t>
      </w:r>
    </w:p>
    <w:p>
      <w:r>
        <w:rPr>
          <w:color w:val="555555"/>
          <w:sz w:val="18"/>
        </w:rPr>
        <w:t xml:space="preserve">Stand: 10.06.2019 (konsolidierte Textfassung, kein amtliches Inkrafttretensdatum)</w:t>
      </w:r>
    </w:p>
    <w:p>
      <w:r>
        <w:t xml:space="preserve">Die Verordnung gilt nach § 14 des Dritten Überleitungsgesetzes in Verbindung mit Artikel 4 des Gesetzes vom 22. Juni 1954 über den Beitritt der Bundesrepublik Deutschland zum Abkommen über die Vorrechte und Befreiungen der Sonderorganisationen der Vereinten Nationen vom 21. November 1947 und über die Gewährung von Vorrechten und Befreiungen an andere zwischenstaatliche Organisationen, der durch das Gesetz vom 28. Februar 1964 (BGBl. II S. 187) neu gefaßt wurde, auch im Land Berlin.</w:t>
      </w:r>
    </w:p>
    <w:p>
      <w:r>
        <w:rPr>
          <w:color w:val="555555"/>
          <w:sz w:val="17"/>
        </w:rPr>
        <w:t xml:space="preserve">Zitiervorschlag: § 2 NatKautschOrgVorRV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https://recht.nulegal.eu/gesetze/NatKautschOrgVorRV/2</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