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NatKautschOrgVorRV 1989</w:t>
      </w:r>
    </w:p>
    <w:p>
      <w:r>
        <w:rPr>
          <w:color w:val="555555"/>
          <w:sz w:val="18"/>
        </w:rPr>
        <w:t xml:space="preserve">Verordnung über die Gewährung von Vorrechten und Immunitäten an die Internationale Naturkautschukorganisation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an dem Tage in Kraft, an dem das Übereinkommen nach seinem Artikel 60 für die Bundesrepublik Deutschland in Kraft tritt.</w:t>
      </w:r>
    </w:p>
    <w:p>
      <w:r>
        <w:t xml:space="preserve">(2) Diese Verordnung tritt an dem Tage außer Kraft, an dem das Übereinkommen für die Bundesrepublik Deutschland außer Kraft tritt.</w:t>
      </w:r>
    </w:p>
    <w:p>
      <w:r>
        <w:t xml:space="preserve">(3) Der Tag des Inkrafttretens und der Tag des Außerkrafttretens sind im Bundesgesetzblatt bekanntzugeben.</w:t>
      </w:r>
    </w:p>
    <w:p>
      <w:r>
        <w:rPr>
          <w:color w:val="555555"/>
          <w:sz w:val="17"/>
        </w:rPr>
        <w:t xml:space="preserve">Zitiervorschlag: § 3 NatKautschOrgVorRV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https://recht.nulegal.eu/gesetze/NatKautschOrgVorRV%201989/3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