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NamÄndG</w:t>
      </w:r>
    </w:p>
    <w:p>
      <w:r>
        <w:rPr>
          <w:color w:val="555555"/>
          <w:sz w:val="18"/>
        </w:rPr>
        <w:t xml:space="preserve">Namensänderungsgesetz</w:t>
      </w:r>
    </w:p>
    <w:p>
      <w:r>
        <w:rPr>
          <w:color w:val="555555"/>
          <w:sz w:val="18"/>
        </w:rPr>
        <w:t xml:space="preserve">Stand: 17.04.2021 (konsolidierte Textfassung, kein amtliches Inkrafttretensdatum)</w:t>
      </w:r>
    </w:p>
    <w:p>
      <w:r>
        <w:t xml:space="preserve">(1) Ein Familienname darf nur geändert werden, wenn ein wichtiger Grund die Änderung rechtfertigt.</w:t>
      </w:r>
    </w:p>
    <w:p>
      <w:r>
        <w:t xml:space="preserve">(2) Die für die Entscheidung erheblichen Umstände sind von Amts wegen festzustellen; dabei sollen insbesondere außer den unmittelbar Beteiligten die zuständige Ortspolizeibehörde und solche Personen gehört werden, deren Rechte durch die Namensänderung berührt werden.</w:t>
      </w:r>
    </w:p>
    <w:p>
      <w:r>
        <w:rPr>
          <w:color w:val="555555"/>
          <w:sz w:val="17"/>
        </w:rPr>
        <w:t xml:space="preserve">Zitiervorschlag: § 3 NamÄndG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https://recht.nulegal.eu/gesetze/Nam%C3%84ndG/3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