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NagProtBGebV — Geltung des Bundesgebührengesetzes</w:t>
      </w:r>
    </w:p>
    <w:p>
      <w:r>
        <w:rPr>
          <w:color w:val="555555"/>
          <w:sz w:val="18"/>
        </w:rPr>
        <w:t xml:space="preserve">Besondere Gebührenverordnung Nagoya-Protokoll</w:t>
      </w:r>
    </w:p>
    <w:p>
      <w:r>
        <w:rPr>
          <w:color w:val="555555"/>
          <w:sz w:val="18"/>
        </w:rPr>
        <w:t xml:space="preserve">Historische Fassung: Stand 09.08.2019 bis 01.10.2021. Dies ist nicht die aktuelle Fassung.</w:t>
      </w:r>
    </w:p>
    <w:p>
      <w:r>
        <w:t xml:space="preserve">(1) Die Erhebung und Bemessung von Gebühren und Auslagen nach dieser Verordnung richtet sich im Übrigen nach den Vorschriften des Bundesgebührengesetzes.</w:t>
      </w:r>
    </w:p>
    <w:p>
      <w:r>
        <w:t xml:space="preserve">(2) Die Kostenverordnung für Amtshandlungen des Bundesamtes für Naturschutz findet auf die Erhebung von Gebühren und Auslagen nach dieser Verordnung keine Anwendung.</w:t>
      </w:r>
    </w:p>
    <w:p>
      <w:r>
        <w:rPr>
          <w:color w:val="555555"/>
          <w:sz w:val="17"/>
        </w:rPr>
        <w:t xml:space="preserve">Zitiervorschlag: § 2 NagProtBGebV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https://recht.nulegal.eu/gesetze/NagProtBGebV/2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