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NagProtBGebV — Gebühren und Auslagen</w:t>
      </w:r>
    </w:p>
    <w:p>
      <w:r>
        <w:rPr>
          <w:color w:val="555555"/>
          <w:sz w:val="18"/>
        </w:rPr>
        <w:t xml:space="preserve">Besondere Gebührenverordnung Nagoya-Protokoll</w:t>
      </w:r>
    </w:p>
    <w:p>
      <w:r>
        <w:rPr>
          <w:color w:val="555555"/>
          <w:sz w:val="18"/>
        </w:rPr>
        <w:t xml:space="preserve">Historische Fassung: Stand 09.08.2019 bis 01.10.2021. Dies ist nicht die aktuelle Fassung.</w:t>
      </w:r>
    </w:p>
    <w:p>
      <w:r>
        <w:t xml:space="preserve">Für Anordnungen und Abhilfemaßnahmen nach § 2 des Gesetzes zur Umsetzung der Verpflichtungen nach dem Nagoya-Protokoll und zur Durchführung der Verordnung (EU) Nr. 511/2014 erhebt das Bundesamt für Naturschutz Gebühren in Höhe von 50 bis 20 000 Euro sowie Auslagen.</w:t>
      </w:r>
    </w:p>
    <w:p>
      <w:r>
        <w:rPr>
          <w:color w:val="555555"/>
          <w:sz w:val="17"/>
        </w:rPr>
        <w:t xml:space="preserve">Zitiervorschlag: § 1 NagProtBGebV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https://recht.nulegal.eu/gesetze/NagProtBGebV/1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